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1A1" w:rsidRPr="00841BCD" w:rsidRDefault="00C931A1" w:rsidP="00C931A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Meeting#91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DC1AEA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DC1AE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DC1AEA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Pr="00DC1AE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190</w:t>
      </w:r>
      <w:r w:rsidR="00DC1AEA" w:rsidRPr="00DC1AEA">
        <w:rPr>
          <w:rFonts w:ascii="Arial" w:eastAsia="SimSun" w:hAnsi="Arial" w:cs="Times New Roman"/>
          <w:b/>
          <w:bCs/>
          <w:color w:val="000000" w:themeColor="text1"/>
          <w:sz w:val="24"/>
          <w:szCs w:val="20"/>
          <w:lang w:val="en-GB" w:eastAsia="zh-CN"/>
        </w:rPr>
        <w:t>6598</w:t>
      </w:r>
    </w:p>
    <w:p w:rsidR="00C931A1" w:rsidRPr="00841BCD" w:rsidRDefault="00C931A1" w:rsidP="00C931A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Reno, USA, May 13 – 17, </w:t>
      </w:r>
      <w:r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231E7">
        <w:rPr>
          <w:rFonts w:ascii="Arial" w:eastAsia="Calibri" w:hAnsi="Arial" w:cs="Arial"/>
          <w:b/>
          <w:bCs/>
          <w:sz w:val="24"/>
          <w:lang w:val="en-GB"/>
        </w:rPr>
        <w:t xml:space="preserve">Demodulation performance for NPRACH </w:t>
      </w:r>
      <w:r w:rsidR="007E448E">
        <w:rPr>
          <w:rFonts w:ascii="Arial" w:eastAsia="Calibri" w:hAnsi="Arial" w:cs="Arial"/>
          <w:b/>
          <w:bCs/>
          <w:sz w:val="24"/>
          <w:lang w:val="en-GB"/>
        </w:rPr>
        <w:t>T</w:t>
      </w:r>
      <w:r w:rsidR="00F231E7">
        <w:rPr>
          <w:rFonts w:ascii="Arial" w:eastAsia="Calibri" w:hAnsi="Arial" w:cs="Arial"/>
          <w:b/>
          <w:bCs/>
          <w:sz w:val="24"/>
          <w:lang w:val="en-GB"/>
        </w:rPr>
        <w:t>DD preamble format</w:t>
      </w:r>
      <w:r w:rsidR="007E448E">
        <w:rPr>
          <w:rFonts w:ascii="Arial" w:eastAsia="Calibri" w:hAnsi="Arial" w:cs="Arial"/>
          <w:b/>
          <w:bCs/>
          <w:sz w:val="24"/>
          <w:lang w:val="en-GB"/>
        </w:rPr>
        <w:t>s</w:t>
      </w:r>
      <w:r w:rsidR="00F231E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B3D00">
        <w:rPr>
          <w:rFonts w:ascii="Arial" w:eastAsia="MS Mincho" w:hAnsi="Arial" w:cs="Arial"/>
          <w:b/>
          <w:bCs/>
          <w:sz w:val="24"/>
          <w:szCs w:val="20"/>
          <w:lang w:val="en-GB"/>
        </w:rPr>
        <w:t>5.3.</w:t>
      </w:r>
      <w:r w:rsidR="00C931A1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231E7" w:rsidRPr="00F231E7">
        <w:rPr>
          <w:rFonts w:ascii="Arial" w:eastAsia="Calibri" w:hAnsi="Arial" w:cs="Arial"/>
          <w:b/>
          <w:bCs/>
          <w:sz w:val="24"/>
          <w:lang w:val="en-GB"/>
        </w:rPr>
        <w:t>Agreement</w:t>
      </w:r>
    </w:p>
    <w:p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A22B78" w:rsidRDefault="00F231E7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Preliminary </w:t>
      </w:r>
      <w:r w:rsidRPr="00355D13">
        <w:t>missed detection requirements</w:t>
      </w:r>
      <w:r>
        <w:rPr>
          <w:rFonts w:eastAsia="Calibri" w:cs="Times New Roman"/>
          <w:szCs w:val="20"/>
          <w:lang w:val="en-GB"/>
        </w:rPr>
        <w:t xml:space="preserve"> for NPRACH </w:t>
      </w:r>
      <w:r w:rsidR="007E448E">
        <w:rPr>
          <w:rFonts w:eastAsia="Calibri" w:cs="Times New Roman"/>
          <w:szCs w:val="20"/>
          <w:lang w:val="en-GB"/>
        </w:rPr>
        <w:t>T</w:t>
      </w:r>
      <w:r>
        <w:rPr>
          <w:rFonts w:eastAsia="Calibri" w:cs="Times New Roman"/>
          <w:szCs w:val="20"/>
          <w:lang w:val="en-GB"/>
        </w:rPr>
        <w:t>DD preamble format</w:t>
      </w:r>
      <w:r w:rsidR="007E448E">
        <w:rPr>
          <w:rFonts w:eastAsia="Calibri" w:cs="Times New Roman"/>
          <w:szCs w:val="20"/>
          <w:lang w:val="en-GB"/>
        </w:rPr>
        <w:t>s 0, 1, 0-a and 1-a</w:t>
      </w:r>
      <w:r>
        <w:rPr>
          <w:rFonts w:eastAsia="Calibri" w:cs="Times New Roman"/>
          <w:szCs w:val="20"/>
          <w:lang w:val="en-GB"/>
        </w:rPr>
        <w:t xml:space="preserve"> were agreed at RAN4 #90 in [1]. </w:t>
      </w:r>
    </w:p>
    <w:p w:rsidR="00C931A1" w:rsidRDefault="00C931A1" w:rsidP="00C931A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At RAN4 #90-Bis the sourcing companies contributed proposed performance figures for NPRACH TDD preamble formats in [2]. Discussion was carried out with other companies to check their performance figures until RAN4 #91, which was captured in the RRM Chairman report: </w:t>
      </w:r>
    </w:p>
    <w:p w:rsidR="00C931A1" w:rsidRPr="00C931A1" w:rsidRDefault="00C931A1" w:rsidP="00C931A1">
      <w:pPr>
        <w:rPr>
          <w:i/>
          <w:lang w:eastAsia="zh-CN"/>
        </w:rPr>
      </w:pPr>
      <w:r w:rsidRPr="00B1479C">
        <w:rPr>
          <w:i/>
          <w:lang w:eastAsia="zh-CN"/>
        </w:rPr>
        <w:t>“Nokia reported the status of the offline discussion on FDD/TDD requirements. The further discussion is needed for the next meeting.”</w:t>
      </w:r>
    </w:p>
    <w:p w:rsidR="006F28AC" w:rsidRDefault="00F231E7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This contribution lists </w:t>
      </w:r>
      <w:r w:rsidRPr="00F261F2">
        <w:rPr>
          <w:rFonts w:eastAsia="Calibri" w:cs="Times New Roman"/>
          <w:color w:val="000000" w:themeColor="text1"/>
          <w:szCs w:val="20"/>
          <w:lang w:val="en-GB"/>
        </w:rPr>
        <w:t>proposals</w:t>
      </w:r>
      <w:r>
        <w:rPr>
          <w:rFonts w:eastAsia="Calibri" w:cs="Times New Roman"/>
          <w:szCs w:val="20"/>
          <w:lang w:val="en-GB"/>
        </w:rPr>
        <w:t xml:space="preserve"> for performance requirements from the sourcing companies</w:t>
      </w:r>
      <w:r w:rsidR="006F28AC">
        <w:rPr>
          <w:rFonts w:eastAsia="Calibri" w:cs="Times New Roman"/>
          <w:szCs w:val="20"/>
          <w:lang w:val="en-GB"/>
        </w:rPr>
        <w:t xml:space="preserve"> based on simulation results and provides a reasoning for the deviation from the preliminary requirements.</w:t>
      </w:r>
    </w:p>
    <w:p w:rsidR="002C2D19" w:rsidRDefault="006F28AC" w:rsidP="006F28AC">
      <w:pPr>
        <w:pStyle w:val="RAN4H1"/>
      </w:pPr>
      <w:r>
        <w:t xml:space="preserve">Simulation results </w:t>
      </w:r>
    </w:p>
    <w:p w:rsidR="006F28AC" w:rsidRDefault="006F28AC" w:rsidP="006F28AC">
      <w:pPr>
        <w:rPr>
          <w:lang w:val="en-GB"/>
        </w:rPr>
      </w:pPr>
      <w:r>
        <w:rPr>
          <w:lang w:val="en-GB"/>
        </w:rPr>
        <w:t xml:space="preserve">Simulations were carried out for NPRACH </w:t>
      </w:r>
      <w:r w:rsidR="00B20B2E">
        <w:rPr>
          <w:lang w:val="en-GB"/>
        </w:rPr>
        <w:t>T</w:t>
      </w:r>
      <w:r>
        <w:rPr>
          <w:lang w:val="en-GB"/>
        </w:rPr>
        <w:t>DD preamble format</w:t>
      </w:r>
      <w:r w:rsidR="00B20B2E">
        <w:rPr>
          <w:lang w:val="en-GB"/>
        </w:rPr>
        <w:t xml:space="preserve">s 0, 1, 0-a and 1-a </w:t>
      </w:r>
      <w:r>
        <w:rPr>
          <w:lang w:val="en-GB"/>
        </w:rPr>
        <w:t xml:space="preserve">as specified in 3GPP TS 36.211. The results including impairments are shown in Table </w:t>
      </w:r>
      <w:r w:rsidR="00062CF3">
        <w:rPr>
          <w:lang w:val="en-GB"/>
        </w:rPr>
        <w:t>1.</w:t>
      </w:r>
      <w:r w:rsidR="00F261F2">
        <w:rPr>
          <w:lang w:val="en-GB"/>
        </w:rPr>
        <w:t xml:space="preserve"> Ideal simulation results are shown in Table 2.</w:t>
      </w:r>
    </w:p>
    <w:p w:rsidR="006F28AC" w:rsidRDefault="006F28AC" w:rsidP="006F28AC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Simulation results </w:t>
      </w:r>
      <w:r w:rsidR="00DB4870">
        <w:t xml:space="preserve">with impairments: </w:t>
      </w:r>
      <w:r w:rsidRPr="00355D13">
        <w:t>missed detection</w:t>
      </w:r>
      <w:r>
        <w:rPr>
          <w:rFonts w:eastAsia="Calibri" w:cs="Times New Roman"/>
          <w:szCs w:val="20"/>
          <w:lang w:val="en-GB"/>
        </w:rPr>
        <w:t xml:space="preserve"> for NPRACH </w:t>
      </w:r>
      <w:r w:rsidR="00B20B2E">
        <w:rPr>
          <w:rFonts w:eastAsia="Calibri" w:cs="Times New Roman"/>
          <w:szCs w:val="20"/>
          <w:lang w:val="en-GB"/>
        </w:rPr>
        <w:t>T</w:t>
      </w:r>
      <w:r>
        <w:rPr>
          <w:rFonts w:eastAsia="Calibri" w:cs="Times New Roman"/>
          <w:szCs w:val="20"/>
          <w:lang w:val="en-GB"/>
        </w:rPr>
        <w:t>DD preamble</w:t>
      </w:r>
      <w:r w:rsidR="00B20B2E">
        <w:rPr>
          <w:rFonts w:eastAsia="Calibri" w:cs="Times New Roman"/>
          <w:szCs w:val="20"/>
          <w:lang w:val="en-GB"/>
        </w:rPr>
        <w:t xml:space="preserve"> formats 0,1,0-a and 1-a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08"/>
        <w:gridCol w:w="1096"/>
        <w:gridCol w:w="1268"/>
        <w:gridCol w:w="1127"/>
        <w:gridCol w:w="1027"/>
        <w:gridCol w:w="1027"/>
        <w:gridCol w:w="1027"/>
        <w:gridCol w:w="1029"/>
      </w:tblGrid>
      <w:tr w:rsidR="00B20B2E" w:rsidRPr="00CF7493" w:rsidTr="00B20B2E">
        <w:tc>
          <w:tcPr>
            <w:tcW w:w="524" w:type="pct"/>
            <w:vMerge w:val="restar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524" w:type="pct"/>
            <w:vMerge w:val="restar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570" w:type="pct"/>
            <w:vMerge w:val="restar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CF7493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659" w:type="pct"/>
            <w:vMerge w:val="restar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586" w:type="pct"/>
            <w:vMerge w:val="restar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2138" w:type="pct"/>
            <w:gridSpan w:val="4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proofErr w:type="gramStart"/>
            <w:r w:rsidRPr="00CF7493">
              <w:rPr>
                <w:rFonts w:cs="Arial" w:hint="eastAsia"/>
                <w:bCs/>
                <w:szCs w:val="18"/>
                <w:lang w:eastAsia="ja-JP"/>
              </w:rPr>
              <w:t>SNR[</w:t>
            </w:r>
            <w:proofErr w:type="gramEnd"/>
            <w:r w:rsidRPr="00CF7493">
              <w:rPr>
                <w:rFonts w:cs="Arial" w:hint="eastAsia"/>
                <w:bCs/>
                <w:szCs w:val="18"/>
                <w:lang w:eastAsia="ja-JP"/>
              </w:rPr>
              <w:t>dB]</w:t>
            </w:r>
          </w:p>
        </w:tc>
      </w:tr>
      <w:tr w:rsidR="00B20B2E" w:rsidRPr="00CF7493" w:rsidTr="00B20B2E">
        <w:tc>
          <w:tcPr>
            <w:tcW w:w="524" w:type="pct"/>
            <w:vMerge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24" w:type="pct"/>
            <w:vMerge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70" w:type="pct"/>
            <w:vMerge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659" w:type="pct"/>
            <w:vMerge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86" w:type="pct"/>
            <w:vMerge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34" w:type="pc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534" w:type="pc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CF7493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  <w:tc>
          <w:tcPr>
            <w:tcW w:w="534" w:type="pc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>
              <w:rPr>
                <w:rFonts w:cs="Arial"/>
                <w:bCs/>
                <w:szCs w:val="18"/>
                <w:lang w:eastAsia="ja-JP"/>
              </w:rPr>
              <w:t>0-a</w:t>
            </w:r>
          </w:p>
        </w:tc>
        <w:tc>
          <w:tcPr>
            <w:tcW w:w="537" w:type="pc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>
              <w:rPr>
                <w:rFonts w:cs="Arial"/>
                <w:bCs/>
                <w:szCs w:val="18"/>
                <w:lang w:eastAsia="ja-JP"/>
              </w:rPr>
              <w:t>1-a</w:t>
            </w:r>
          </w:p>
        </w:tc>
      </w:tr>
      <w:tr w:rsidR="00B20B2E" w:rsidTr="00B20B2E">
        <w:tc>
          <w:tcPr>
            <w:tcW w:w="524" w:type="pct"/>
            <w:vMerge w:val="restar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1</w:t>
            </w:r>
          </w:p>
        </w:tc>
        <w:tc>
          <w:tcPr>
            <w:tcW w:w="524" w:type="pct"/>
            <w:vMerge w:val="restar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570" w:type="pct"/>
            <w:vMerge w:val="restar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659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86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5.7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2.8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4.5</w:t>
            </w:r>
          </w:p>
        </w:tc>
        <w:tc>
          <w:tcPr>
            <w:tcW w:w="537" w:type="pct"/>
            <w:vAlign w:val="center"/>
          </w:tcPr>
          <w:p w:rsidR="00B20B2E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1.5</w:t>
            </w:r>
          </w:p>
        </w:tc>
      </w:tr>
      <w:tr w:rsidR="00B20B2E" w:rsidTr="00B20B2E">
        <w:tc>
          <w:tcPr>
            <w:tcW w:w="524" w:type="pct"/>
            <w:vMerge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24" w:type="pct"/>
            <w:vMerge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70" w:type="pct"/>
            <w:vMerge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59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EPA</w:t>
            </w:r>
            <w:r w:rsidRPr="00CF7493">
              <w:rPr>
                <w:rFonts w:cs="Arial"/>
                <w:szCs w:val="18"/>
                <w:lang w:eastAsia="ja-JP"/>
              </w:rPr>
              <w:t>1</w:t>
            </w:r>
            <w:r w:rsidRPr="00CF7493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86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14.6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10.2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12.9</w:t>
            </w:r>
          </w:p>
        </w:tc>
        <w:tc>
          <w:tcPr>
            <w:tcW w:w="537" w:type="pct"/>
            <w:vAlign w:val="center"/>
          </w:tcPr>
          <w:p w:rsidR="00B20B2E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9.2</w:t>
            </w:r>
          </w:p>
        </w:tc>
      </w:tr>
      <w:tr w:rsidR="00B20B2E" w:rsidTr="00B20B2E">
        <w:tc>
          <w:tcPr>
            <w:tcW w:w="524" w:type="pct"/>
            <w:vMerge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24" w:type="pct"/>
            <w:vMerge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70" w:type="pct"/>
            <w:vMerge w:val="restar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32</w:t>
            </w:r>
          </w:p>
        </w:tc>
        <w:tc>
          <w:tcPr>
            <w:tcW w:w="659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86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1.2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-1.8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-0.3</w:t>
            </w:r>
          </w:p>
        </w:tc>
        <w:tc>
          <w:tcPr>
            <w:tcW w:w="537" w:type="pct"/>
            <w:vAlign w:val="center"/>
          </w:tcPr>
          <w:p w:rsidR="00B20B2E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-3.3</w:t>
            </w:r>
          </w:p>
        </w:tc>
      </w:tr>
      <w:tr w:rsidR="00B20B2E" w:rsidTr="00B20B2E">
        <w:tc>
          <w:tcPr>
            <w:tcW w:w="524" w:type="pct"/>
            <w:vMerge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24" w:type="pct"/>
            <w:vMerge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70" w:type="pct"/>
            <w:vMerge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59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EPA</w:t>
            </w:r>
            <w:r w:rsidRPr="00CF7493">
              <w:rPr>
                <w:rFonts w:cs="Arial"/>
                <w:szCs w:val="18"/>
                <w:lang w:eastAsia="ja-JP"/>
              </w:rPr>
              <w:t>1</w:t>
            </w:r>
            <w:r w:rsidRPr="00CF7493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86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3.8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7.9</w:t>
            </w:r>
          </w:p>
        </w:tc>
        <w:tc>
          <w:tcPr>
            <w:tcW w:w="537" w:type="pct"/>
            <w:vAlign w:val="center"/>
          </w:tcPr>
          <w:p w:rsidR="00B20B2E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2.7</w:t>
            </w:r>
          </w:p>
        </w:tc>
      </w:tr>
    </w:tbl>
    <w:p w:rsidR="00B20B2E" w:rsidRDefault="00B20B2E" w:rsidP="006F28AC">
      <w:pPr>
        <w:rPr>
          <w:lang w:eastAsia="zh-CN"/>
        </w:rPr>
      </w:pPr>
    </w:p>
    <w:p w:rsidR="00F261F2" w:rsidRDefault="00F261F2" w:rsidP="00F261F2">
      <w:pPr>
        <w:pStyle w:val="Caption"/>
        <w:keepNext/>
      </w:pPr>
      <w:r>
        <w:t xml:space="preserve">Table </w:t>
      </w:r>
      <w:r>
        <w:rPr>
          <w:noProof/>
        </w:rPr>
        <w:t>2</w:t>
      </w:r>
      <w:r>
        <w:t>: Simulation results for ideal performance</w:t>
      </w:r>
      <w:r w:rsidR="00DB4870">
        <w:t xml:space="preserve">: </w:t>
      </w:r>
      <w:r>
        <w:rPr>
          <w:rFonts w:eastAsia="Calibri" w:cs="Times New Roman"/>
          <w:szCs w:val="20"/>
          <w:lang w:val="en-GB"/>
        </w:rPr>
        <w:t>missed detection for NPRACH TDD preamble formats 0,1,0-a and 1-a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08"/>
        <w:gridCol w:w="1096"/>
        <w:gridCol w:w="1268"/>
        <w:gridCol w:w="1127"/>
        <w:gridCol w:w="1027"/>
        <w:gridCol w:w="1027"/>
        <w:gridCol w:w="1027"/>
        <w:gridCol w:w="1029"/>
      </w:tblGrid>
      <w:tr w:rsidR="00F261F2" w:rsidRPr="00CF7493" w:rsidTr="002245CF">
        <w:tc>
          <w:tcPr>
            <w:tcW w:w="524" w:type="pct"/>
            <w:vMerge w:val="restart"/>
          </w:tcPr>
          <w:p w:rsidR="00F261F2" w:rsidRPr="00CF7493" w:rsidRDefault="00F261F2" w:rsidP="002245C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524" w:type="pct"/>
            <w:vMerge w:val="restart"/>
          </w:tcPr>
          <w:p w:rsidR="00F261F2" w:rsidRPr="00CF7493" w:rsidRDefault="00F261F2" w:rsidP="002245C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570" w:type="pct"/>
            <w:vMerge w:val="restart"/>
          </w:tcPr>
          <w:p w:rsidR="00F261F2" w:rsidRPr="00CF7493" w:rsidRDefault="00F261F2" w:rsidP="002245CF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CF7493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659" w:type="pct"/>
            <w:vMerge w:val="restart"/>
          </w:tcPr>
          <w:p w:rsidR="00F261F2" w:rsidRPr="00CF7493" w:rsidRDefault="00F261F2" w:rsidP="002245C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586" w:type="pct"/>
            <w:vMerge w:val="restart"/>
          </w:tcPr>
          <w:p w:rsidR="00F261F2" w:rsidRPr="00CF7493" w:rsidRDefault="00F261F2" w:rsidP="002245C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2138" w:type="pct"/>
            <w:gridSpan w:val="4"/>
          </w:tcPr>
          <w:p w:rsidR="00F261F2" w:rsidRPr="00CF7493" w:rsidRDefault="00F261F2" w:rsidP="002245C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proofErr w:type="gramStart"/>
            <w:r w:rsidRPr="00CF7493">
              <w:rPr>
                <w:rFonts w:cs="Arial" w:hint="eastAsia"/>
                <w:bCs/>
                <w:szCs w:val="18"/>
                <w:lang w:eastAsia="ja-JP"/>
              </w:rPr>
              <w:t>SNR[</w:t>
            </w:r>
            <w:proofErr w:type="gramEnd"/>
            <w:r w:rsidRPr="00CF7493">
              <w:rPr>
                <w:rFonts w:cs="Arial" w:hint="eastAsia"/>
                <w:bCs/>
                <w:szCs w:val="18"/>
                <w:lang w:eastAsia="ja-JP"/>
              </w:rPr>
              <w:t>dB]</w:t>
            </w:r>
          </w:p>
        </w:tc>
      </w:tr>
      <w:tr w:rsidR="00F261F2" w:rsidRPr="00CF7493" w:rsidTr="002245CF">
        <w:tc>
          <w:tcPr>
            <w:tcW w:w="524" w:type="pct"/>
            <w:vMerge/>
          </w:tcPr>
          <w:p w:rsidR="00F261F2" w:rsidRPr="00CF7493" w:rsidRDefault="00F261F2" w:rsidP="002245C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24" w:type="pct"/>
            <w:vMerge/>
          </w:tcPr>
          <w:p w:rsidR="00F261F2" w:rsidRPr="00CF7493" w:rsidRDefault="00F261F2" w:rsidP="002245C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70" w:type="pct"/>
            <w:vMerge/>
          </w:tcPr>
          <w:p w:rsidR="00F261F2" w:rsidRPr="00CF7493" w:rsidRDefault="00F261F2" w:rsidP="002245C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659" w:type="pct"/>
            <w:vMerge/>
          </w:tcPr>
          <w:p w:rsidR="00F261F2" w:rsidRPr="00CF7493" w:rsidRDefault="00F261F2" w:rsidP="002245C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86" w:type="pct"/>
            <w:vMerge/>
          </w:tcPr>
          <w:p w:rsidR="00F261F2" w:rsidRPr="00CF7493" w:rsidRDefault="00F261F2" w:rsidP="002245C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34" w:type="pct"/>
          </w:tcPr>
          <w:p w:rsidR="00F261F2" w:rsidRPr="00CF7493" w:rsidRDefault="00F261F2" w:rsidP="002245C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534" w:type="pct"/>
          </w:tcPr>
          <w:p w:rsidR="00F261F2" w:rsidRPr="00CF7493" w:rsidRDefault="00F261F2" w:rsidP="002245C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CF7493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  <w:tc>
          <w:tcPr>
            <w:tcW w:w="534" w:type="pct"/>
          </w:tcPr>
          <w:p w:rsidR="00F261F2" w:rsidRPr="00CF7493" w:rsidRDefault="00F261F2" w:rsidP="002245C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>
              <w:rPr>
                <w:rFonts w:cs="Arial"/>
                <w:bCs/>
                <w:szCs w:val="18"/>
                <w:lang w:eastAsia="ja-JP"/>
              </w:rPr>
              <w:t>0-a</w:t>
            </w:r>
          </w:p>
        </w:tc>
        <w:tc>
          <w:tcPr>
            <w:tcW w:w="537" w:type="pct"/>
          </w:tcPr>
          <w:p w:rsidR="00F261F2" w:rsidRPr="00CF7493" w:rsidRDefault="00F261F2" w:rsidP="002245C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>
              <w:rPr>
                <w:rFonts w:cs="Arial"/>
                <w:bCs/>
                <w:szCs w:val="18"/>
                <w:lang w:eastAsia="ja-JP"/>
              </w:rPr>
              <w:t>1-a</w:t>
            </w:r>
          </w:p>
        </w:tc>
      </w:tr>
      <w:tr w:rsidR="00F261F2" w:rsidTr="002245CF">
        <w:tc>
          <w:tcPr>
            <w:tcW w:w="524" w:type="pct"/>
            <w:vMerge w:val="restart"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1</w:t>
            </w:r>
          </w:p>
        </w:tc>
        <w:tc>
          <w:tcPr>
            <w:tcW w:w="524" w:type="pct"/>
            <w:vMerge w:val="restart"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570" w:type="pct"/>
            <w:vMerge w:val="restart"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659" w:type="pct"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86" w:type="pct"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34" w:type="pct"/>
            <w:vAlign w:val="center"/>
          </w:tcPr>
          <w:p w:rsidR="00F261F2" w:rsidRPr="00CF7493" w:rsidRDefault="00DB4870" w:rsidP="002245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  <w:r w:rsidR="00F261F2">
              <w:rPr>
                <w:rFonts w:cs="Arial"/>
                <w:szCs w:val="18"/>
                <w:lang w:eastAsia="zh-CN"/>
              </w:rPr>
              <w:t>.7</w:t>
            </w:r>
          </w:p>
        </w:tc>
        <w:tc>
          <w:tcPr>
            <w:tcW w:w="534" w:type="pct"/>
            <w:vAlign w:val="center"/>
          </w:tcPr>
          <w:p w:rsidR="00F261F2" w:rsidRPr="00CF7493" w:rsidRDefault="00DB4870" w:rsidP="002245C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 w:rsidR="00F261F2"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534" w:type="pct"/>
            <w:vAlign w:val="center"/>
          </w:tcPr>
          <w:p w:rsidR="00F261F2" w:rsidRPr="00CF7493" w:rsidRDefault="00DB4870" w:rsidP="002245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  <w:r w:rsidR="00F261F2"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537" w:type="pct"/>
            <w:vAlign w:val="center"/>
          </w:tcPr>
          <w:p w:rsidR="00F261F2" w:rsidRDefault="00DB4870" w:rsidP="002245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-0</w:t>
            </w:r>
            <w:r w:rsidR="00F261F2"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F261F2" w:rsidTr="002245CF">
        <w:tc>
          <w:tcPr>
            <w:tcW w:w="524" w:type="pct"/>
            <w:vMerge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24" w:type="pct"/>
            <w:vMerge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70" w:type="pct"/>
            <w:vMerge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59" w:type="pct"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EPA</w:t>
            </w:r>
            <w:r w:rsidRPr="00CF7493">
              <w:rPr>
                <w:rFonts w:cs="Arial"/>
                <w:szCs w:val="18"/>
                <w:lang w:eastAsia="ja-JP"/>
              </w:rPr>
              <w:t>1</w:t>
            </w:r>
            <w:r w:rsidRPr="00CF7493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86" w:type="pct"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34" w:type="pct"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 w:rsidR="00DB4870"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534" w:type="pct"/>
            <w:vAlign w:val="center"/>
          </w:tcPr>
          <w:p w:rsidR="00F261F2" w:rsidRPr="00CF7493" w:rsidRDefault="00DB4870" w:rsidP="002245C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  <w:r w:rsidR="00F261F2"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534" w:type="pct"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 w:rsidR="00DB4870"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.9</w:t>
            </w:r>
          </w:p>
        </w:tc>
        <w:tc>
          <w:tcPr>
            <w:tcW w:w="537" w:type="pct"/>
            <w:vAlign w:val="center"/>
          </w:tcPr>
          <w:p w:rsidR="00F261F2" w:rsidRDefault="00DB4870" w:rsidP="002245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  <w:r w:rsidR="00F261F2">
              <w:rPr>
                <w:rFonts w:cs="Arial"/>
                <w:szCs w:val="18"/>
                <w:lang w:eastAsia="zh-CN"/>
              </w:rPr>
              <w:t>.2</w:t>
            </w:r>
          </w:p>
        </w:tc>
      </w:tr>
      <w:tr w:rsidR="00F261F2" w:rsidTr="002245CF">
        <w:tc>
          <w:tcPr>
            <w:tcW w:w="524" w:type="pct"/>
            <w:vMerge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24" w:type="pct"/>
            <w:vMerge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70" w:type="pct"/>
            <w:vMerge w:val="restart"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32</w:t>
            </w:r>
          </w:p>
        </w:tc>
        <w:tc>
          <w:tcPr>
            <w:tcW w:w="659" w:type="pct"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86" w:type="pct"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34" w:type="pct"/>
            <w:vAlign w:val="center"/>
          </w:tcPr>
          <w:p w:rsidR="00F261F2" w:rsidRPr="00CF7493" w:rsidRDefault="00DB4870" w:rsidP="002245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-0.8</w:t>
            </w:r>
          </w:p>
        </w:tc>
        <w:tc>
          <w:tcPr>
            <w:tcW w:w="534" w:type="pct"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="00DB4870"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534" w:type="pct"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="00DB4870"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537" w:type="pct"/>
            <w:vAlign w:val="center"/>
          </w:tcPr>
          <w:p w:rsidR="00F261F2" w:rsidRDefault="00F261F2" w:rsidP="002245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="00DB4870"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 w:rsidR="00F261F2" w:rsidTr="002245CF">
        <w:tc>
          <w:tcPr>
            <w:tcW w:w="524" w:type="pct"/>
            <w:vMerge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24" w:type="pct"/>
            <w:vMerge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70" w:type="pct"/>
            <w:vMerge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59" w:type="pct"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EPA</w:t>
            </w:r>
            <w:r w:rsidRPr="00CF7493">
              <w:rPr>
                <w:rFonts w:cs="Arial"/>
                <w:szCs w:val="18"/>
                <w:lang w:eastAsia="ja-JP"/>
              </w:rPr>
              <w:t>1</w:t>
            </w:r>
            <w:r w:rsidRPr="00CF7493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86" w:type="pct"/>
            <w:vAlign w:val="center"/>
          </w:tcPr>
          <w:p w:rsidR="00F261F2" w:rsidRPr="00CF7493" w:rsidRDefault="00F261F2" w:rsidP="002245C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34" w:type="pct"/>
            <w:vAlign w:val="center"/>
          </w:tcPr>
          <w:p w:rsidR="00F261F2" w:rsidRPr="00CF7493" w:rsidRDefault="00DB4870" w:rsidP="002245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7.3</w:t>
            </w:r>
          </w:p>
        </w:tc>
        <w:tc>
          <w:tcPr>
            <w:tcW w:w="534" w:type="pct"/>
            <w:vAlign w:val="center"/>
          </w:tcPr>
          <w:p w:rsidR="00F261F2" w:rsidRPr="00CF7493" w:rsidRDefault="00DB4870" w:rsidP="002245C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 w:rsidR="00F261F2"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534" w:type="pct"/>
            <w:vAlign w:val="center"/>
          </w:tcPr>
          <w:p w:rsidR="00F261F2" w:rsidRPr="00CF7493" w:rsidRDefault="00DB4870" w:rsidP="002245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  <w:r w:rsidR="00F261F2">
              <w:rPr>
                <w:rFonts w:cs="Arial"/>
                <w:szCs w:val="18"/>
                <w:lang w:eastAsia="zh-CN"/>
              </w:rPr>
              <w:t>.9</w:t>
            </w:r>
          </w:p>
        </w:tc>
        <w:tc>
          <w:tcPr>
            <w:tcW w:w="537" w:type="pct"/>
            <w:vAlign w:val="center"/>
          </w:tcPr>
          <w:p w:rsidR="00F261F2" w:rsidRDefault="00DB4870" w:rsidP="002245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 w:rsidR="00F261F2">
              <w:rPr>
                <w:rFonts w:cs="Arial"/>
                <w:szCs w:val="18"/>
                <w:lang w:eastAsia="zh-CN"/>
              </w:rPr>
              <w:t>.7</w:t>
            </w:r>
          </w:p>
        </w:tc>
      </w:tr>
    </w:tbl>
    <w:p w:rsidR="00FD4155" w:rsidRDefault="00FD4155" w:rsidP="00FD4155">
      <w:pPr>
        <w:rPr>
          <w:lang w:eastAsia="zh-CN"/>
        </w:rPr>
      </w:pPr>
    </w:p>
    <w:p w:rsidR="00FD4155" w:rsidRDefault="00FD4155" w:rsidP="00FD4155">
      <w:pPr>
        <w:rPr>
          <w:lang w:eastAsia="zh-CN"/>
        </w:rPr>
      </w:pPr>
      <w:r>
        <w:rPr>
          <w:lang w:eastAsia="zh-CN"/>
        </w:rPr>
        <w:t xml:space="preserve">The simulation results reported in section 2 are added to the performance summary, version 3 in [3] being an update of version 2 in [4]. </w:t>
      </w:r>
    </w:p>
    <w:p w:rsidR="00D358A6" w:rsidRDefault="00D358A6" w:rsidP="00D358A6">
      <w:pPr>
        <w:pStyle w:val="RAN4H1"/>
      </w:pPr>
      <w:r>
        <w:lastRenderedPageBreak/>
        <w:t>Discussion</w:t>
      </w:r>
    </w:p>
    <w:p w:rsidR="005D4B8B" w:rsidRDefault="005D4B8B" w:rsidP="005D4B8B">
      <w:pPr>
        <w:pStyle w:val="RAN4H2"/>
        <w:rPr>
          <w:lang w:eastAsia="zh-CN"/>
        </w:rPr>
      </w:pPr>
      <w:r>
        <w:rPr>
          <w:lang w:eastAsia="zh-CN"/>
        </w:rPr>
        <w:t>Performance Comparison</w:t>
      </w:r>
    </w:p>
    <w:p w:rsidR="00D358A6" w:rsidRDefault="00062CF3" w:rsidP="006F28AC">
      <w:pPr>
        <w:rPr>
          <w:lang w:eastAsia="zh-CN"/>
        </w:rPr>
      </w:pPr>
      <w:r>
        <w:rPr>
          <w:lang w:eastAsia="zh-CN"/>
        </w:rPr>
        <w:t xml:space="preserve">The above </w:t>
      </w:r>
      <w:r w:rsidR="00FD4155">
        <w:rPr>
          <w:lang w:eastAsia="zh-CN"/>
        </w:rPr>
        <w:t xml:space="preserve">simulation </w:t>
      </w:r>
      <w:r>
        <w:rPr>
          <w:lang w:eastAsia="zh-CN"/>
        </w:rPr>
        <w:t xml:space="preserve">results </w:t>
      </w:r>
      <w:r w:rsidR="00FD4155">
        <w:rPr>
          <w:lang w:eastAsia="zh-CN"/>
        </w:rPr>
        <w:t xml:space="preserve">with impairments </w:t>
      </w:r>
      <w:r>
        <w:rPr>
          <w:lang w:eastAsia="zh-CN"/>
        </w:rPr>
        <w:t>are compared to preliminary performance requirements in 3</w:t>
      </w:r>
      <w:r w:rsidR="004E006D">
        <w:rPr>
          <w:lang w:eastAsia="zh-CN"/>
        </w:rPr>
        <w:t xml:space="preserve">6.104 </w:t>
      </w:r>
      <w:r w:rsidR="0095560C">
        <w:rPr>
          <w:lang w:eastAsia="zh-CN"/>
        </w:rPr>
        <w:t xml:space="preserve">as </w:t>
      </w:r>
      <w:r w:rsidR="004E006D">
        <w:rPr>
          <w:lang w:eastAsia="zh-CN"/>
        </w:rPr>
        <w:t xml:space="preserve">shown in </w:t>
      </w:r>
      <w:r>
        <w:rPr>
          <w:lang w:eastAsia="zh-CN"/>
        </w:rPr>
        <w:t xml:space="preserve">Table </w:t>
      </w:r>
      <w:r w:rsidR="00FD4155">
        <w:rPr>
          <w:lang w:eastAsia="zh-CN"/>
        </w:rPr>
        <w:t>3</w:t>
      </w:r>
      <w:r>
        <w:rPr>
          <w:lang w:eastAsia="zh-CN"/>
        </w:rPr>
        <w:t xml:space="preserve">.  </w:t>
      </w:r>
    </w:p>
    <w:p w:rsidR="00062CF3" w:rsidRDefault="00062CF3" w:rsidP="00062CF3">
      <w:pPr>
        <w:pStyle w:val="Caption"/>
        <w:keepNext/>
        <w:rPr>
          <w:rFonts w:eastAsia="Calibri" w:cs="Times New Roman"/>
          <w:szCs w:val="20"/>
          <w:lang w:val="en-GB"/>
        </w:rPr>
      </w:pPr>
      <w:r>
        <w:t xml:space="preserve">Table </w:t>
      </w:r>
      <w:r w:rsidR="00FD4155">
        <w:rPr>
          <w:noProof/>
        </w:rPr>
        <w:t>3</w:t>
      </w:r>
      <w:r>
        <w:t xml:space="preserve">: </w:t>
      </w:r>
      <w:r w:rsidR="0095560C" w:rsidRPr="000F2046">
        <w:rPr>
          <w:lang w:val="en-GB"/>
        </w:rPr>
        <w:t>P</w:t>
      </w:r>
      <w:r w:rsidRPr="000F2046">
        <w:rPr>
          <w:rFonts w:eastAsia="Calibri" w:cs="Times New Roman"/>
          <w:szCs w:val="20"/>
          <w:lang w:val="en-GB"/>
        </w:rPr>
        <w:t>reliminary r</w:t>
      </w:r>
      <w:r>
        <w:rPr>
          <w:rFonts w:eastAsia="Calibri" w:cs="Times New Roman"/>
          <w:szCs w:val="20"/>
          <w:lang w:val="en-GB"/>
        </w:rPr>
        <w:t xml:space="preserve">equirement for NPRACH </w:t>
      </w:r>
      <w:r w:rsidR="0095560C">
        <w:rPr>
          <w:rFonts w:eastAsia="Calibri" w:cs="Times New Roman"/>
          <w:szCs w:val="20"/>
          <w:lang w:val="en-GB"/>
        </w:rPr>
        <w:t>T</w:t>
      </w:r>
      <w:r>
        <w:rPr>
          <w:rFonts w:eastAsia="Calibri" w:cs="Times New Roman"/>
          <w:szCs w:val="20"/>
          <w:lang w:val="en-GB"/>
        </w:rPr>
        <w:t>DD preamble format</w:t>
      </w:r>
      <w:r w:rsidR="0095560C">
        <w:rPr>
          <w:rFonts w:eastAsia="Calibri" w:cs="Times New Roman"/>
          <w:szCs w:val="20"/>
          <w:lang w:val="en-GB"/>
        </w:rPr>
        <w:t>s 0, 1, 0-a and 1-a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1007"/>
        <w:gridCol w:w="1096"/>
        <w:gridCol w:w="1267"/>
        <w:gridCol w:w="1127"/>
        <w:gridCol w:w="1027"/>
        <w:gridCol w:w="1027"/>
        <w:gridCol w:w="1027"/>
        <w:gridCol w:w="1032"/>
      </w:tblGrid>
      <w:tr w:rsidR="0095560C" w:rsidRPr="00CF7493" w:rsidTr="00B3283F">
        <w:tc>
          <w:tcPr>
            <w:tcW w:w="523" w:type="pct"/>
            <w:vMerge w:val="restar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523" w:type="pct"/>
            <w:vMerge w:val="restar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569" w:type="pct"/>
            <w:vMerge w:val="restar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CF7493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658" w:type="pct"/>
            <w:vMerge w:val="restar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585" w:type="pct"/>
            <w:vMerge w:val="restar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2142" w:type="pct"/>
            <w:gridSpan w:val="4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proofErr w:type="gramStart"/>
            <w:r w:rsidRPr="00CF7493">
              <w:rPr>
                <w:rFonts w:cs="Arial" w:hint="eastAsia"/>
                <w:bCs/>
                <w:szCs w:val="18"/>
                <w:lang w:eastAsia="ja-JP"/>
              </w:rPr>
              <w:t>SNR[</w:t>
            </w:r>
            <w:proofErr w:type="gramEnd"/>
            <w:r w:rsidRPr="00CF7493">
              <w:rPr>
                <w:rFonts w:cs="Arial" w:hint="eastAsia"/>
                <w:bCs/>
                <w:szCs w:val="18"/>
                <w:lang w:eastAsia="ja-JP"/>
              </w:rPr>
              <w:t>dB]</w:t>
            </w:r>
          </w:p>
        </w:tc>
      </w:tr>
      <w:tr w:rsidR="0095560C" w:rsidRPr="00CF7493" w:rsidTr="00B3283F">
        <w:tc>
          <w:tcPr>
            <w:tcW w:w="523" w:type="pct"/>
            <w:vMerge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23" w:type="pct"/>
            <w:vMerge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69" w:type="pct"/>
            <w:vMerge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658" w:type="pct"/>
            <w:vMerge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85" w:type="pct"/>
            <w:vMerge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33" w:type="pc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533" w:type="pc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CF7493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  <w:tc>
          <w:tcPr>
            <w:tcW w:w="533" w:type="pc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>
              <w:rPr>
                <w:rFonts w:cs="Arial"/>
                <w:bCs/>
                <w:szCs w:val="18"/>
                <w:lang w:eastAsia="ja-JP"/>
              </w:rPr>
              <w:t>0-a</w:t>
            </w:r>
          </w:p>
        </w:tc>
        <w:tc>
          <w:tcPr>
            <w:tcW w:w="542" w:type="pc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>
              <w:rPr>
                <w:rFonts w:cs="Arial"/>
                <w:bCs/>
                <w:szCs w:val="18"/>
                <w:lang w:eastAsia="ja-JP"/>
              </w:rPr>
              <w:t>1-a</w:t>
            </w:r>
          </w:p>
        </w:tc>
      </w:tr>
      <w:tr w:rsidR="0095560C" w:rsidTr="00B3283F">
        <w:tc>
          <w:tcPr>
            <w:tcW w:w="523" w:type="pct"/>
            <w:vMerge w:val="restar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1</w:t>
            </w:r>
          </w:p>
        </w:tc>
        <w:tc>
          <w:tcPr>
            <w:tcW w:w="523" w:type="pct"/>
            <w:vMerge w:val="restar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569" w:type="pct"/>
            <w:vMerge w:val="restar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658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85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[-17.8]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[-20.4]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[-19.3]</w:t>
            </w:r>
          </w:p>
        </w:tc>
        <w:tc>
          <w:tcPr>
            <w:tcW w:w="542" w:type="pct"/>
            <w:vAlign w:val="center"/>
          </w:tcPr>
          <w:p w:rsidR="0095560C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[-23.0]</w:t>
            </w:r>
          </w:p>
        </w:tc>
      </w:tr>
      <w:tr w:rsidR="0095560C" w:rsidTr="00B3283F">
        <w:tc>
          <w:tcPr>
            <w:tcW w:w="523" w:type="pct"/>
            <w:vMerge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58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EPA</w:t>
            </w:r>
            <w:r w:rsidRPr="00CF7493">
              <w:rPr>
                <w:rFonts w:cs="Arial"/>
                <w:szCs w:val="18"/>
                <w:lang w:eastAsia="ja-JP"/>
              </w:rPr>
              <w:t>1</w:t>
            </w:r>
            <w:r w:rsidRPr="00CF7493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85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[-8.6]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[-11.1]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[-9.5]</w:t>
            </w:r>
          </w:p>
        </w:tc>
        <w:tc>
          <w:tcPr>
            <w:tcW w:w="542" w:type="pct"/>
            <w:vAlign w:val="center"/>
          </w:tcPr>
          <w:p w:rsidR="0095560C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[-13.3]</w:t>
            </w:r>
          </w:p>
        </w:tc>
      </w:tr>
      <w:tr w:rsidR="0095560C" w:rsidTr="00B3283F">
        <w:tc>
          <w:tcPr>
            <w:tcW w:w="523" w:type="pct"/>
            <w:vMerge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 w:val="restar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32</w:t>
            </w:r>
          </w:p>
        </w:tc>
        <w:tc>
          <w:tcPr>
            <w:tcW w:w="658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85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[-20.2]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[-22.8]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[-20.1]</w:t>
            </w:r>
          </w:p>
        </w:tc>
        <w:tc>
          <w:tcPr>
            <w:tcW w:w="542" w:type="pct"/>
            <w:vAlign w:val="center"/>
          </w:tcPr>
          <w:p w:rsidR="0095560C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[-23.0]</w:t>
            </w:r>
          </w:p>
        </w:tc>
      </w:tr>
      <w:tr w:rsidR="0095560C" w:rsidTr="00B3283F">
        <w:tc>
          <w:tcPr>
            <w:tcW w:w="523" w:type="pct"/>
            <w:vMerge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58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EPA</w:t>
            </w:r>
            <w:r w:rsidRPr="00CF7493">
              <w:rPr>
                <w:rFonts w:cs="Arial"/>
                <w:szCs w:val="18"/>
                <w:lang w:eastAsia="ja-JP"/>
              </w:rPr>
              <w:t>1</w:t>
            </w:r>
            <w:r w:rsidRPr="00CF7493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85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[-13.6]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[-17.5]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[-13.3]</w:t>
            </w:r>
          </w:p>
        </w:tc>
        <w:tc>
          <w:tcPr>
            <w:tcW w:w="542" w:type="pct"/>
            <w:vAlign w:val="center"/>
          </w:tcPr>
          <w:p w:rsidR="0095560C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[-17.7]</w:t>
            </w:r>
          </w:p>
        </w:tc>
      </w:tr>
    </w:tbl>
    <w:p w:rsidR="0095560C" w:rsidRPr="0095560C" w:rsidRDefault="0095560C" w:rsidP="0095560C">
      <w:pPr>
        <w:rPr>
          <w:lang w:val="en-GB"/>
        </w:rPr>
      </w:pPr>
    </w:p>
    <w:p w:rsidR="0095560C" w:rsidRDefault="004E006D" w:rsidP="006F28AC">
      <w:pPr>
        <w:rPr>
          <w:lang w:val="en-GB"/>
        </w:rPr>
      </w:pPr>
      <w:r>
        <w:rPr>
          <w:lang w:val="en-GB"/>
        </w:rPr>
        <w:t xml:space="preserve">It is observed that there is a </w:t>
      </w:r>
      <w:r w:rsidR="0095560C">
        <w:rPr>
          <w:lang w:val="en-GB"/>
        </w:rPr>
        <w:t xml:space="preserve">considerable </w:t>
      </w:r>
      <w:r>
        <w:rPr>
          <w:lang w:val="en-GB"/>
        </w:rPr>
        <w:t xml:space="preserve">difference of </w:t>
      </w:r>
      <w:r w:rsidR="0095560C">
        <w:rPr>
          <w:lang w:val="en-GB"/>
        </w:rPr>
        <w:t>20 to 25 dB both for AWGN and EPA</w:t>
      </w:r>
      <w:r w:rsidR="00DB32BB">
        <w:rPr>
          <w:lang w:val="en-GB"/>
        </w:rPr>
        <w:t>1 Low</w:t>
      </w:r>
      <w:r w:rsidR="0095560C">
        <w:rPr>
          <w:lang w:val="en-GB"/>
        </w:rPr>
        <w:t xml:space="preserve"> channels. It is unclear, due to what reason NPRACH TDD preambles exhibit that good performance, captured in stringent preliminary requirements, which is also superior by around 15 dB over </w:t>
      </w:r>
      <w:r w:rsidR="00DB32BB">
        <w:rPr>
          <w:lang w:val="en-GB"/>
        </w:rPr>
        <w:t xml:space="preserve">NPRACH </w:t>
      </w:r>
      <w:r w:rsidR="0095560C">
        <w:rPr>
          <w:lang w:val="en-GB"/>
        </w:rPr>
        <w:t>FDD performance, although the same modulation scheme (QPSK) is used</w:t>
      </w:r>
      <w:r w:rsidR="00DB32BB">
        <w:rPr>
          <w:lang w:val="en-GB"/>
        </w:rPr>
        <w:t xml:space="preserve"> for both</w:t>
      </w:r>
      <w:r w:rsidR="0095560C">
        <w:rPr>
          <w:lang w:val="en-GB"/>
        </w:rPr>
        <w:t>.</w:t>
      </w:r>
      <w:r w:rsidR="00023724">
        <w:rPr>
          <w:lang w:val="en-GB"/>
        </w:rPr>
        <w:t xml:space="preserve"> Unfortunately, no progress in the offline discussion after RAN4 #90-Bis was achieved on this matter. </w:t>
      </w:r>
    </w:p>
    <w:p w:rsidR="00023724" w:rsidRDefault="00023724" w:rsidP="006F28AC">
      <w:pPr>
        <w:rPr>
          <w:lang w:val="en-GB"/>
        </w:rPr>
      </w:pPr>
      <w:r>
        <w:rPr>
          <w:lang w:val="en-GB"/>
        </w:rPr>
        <w:t xml:space="preserve">In our view the performance of the new NPRACH TDD formats should be in balance with existing and new NPRACH FDD formats, i.e. formats specified in Rel-13 and in Rel-15. </w:t>
      </w:r>
    </w:p>
    <w:p w:rsidR="00480EBB" w:rsidRDefault="00023724" w:rsidP="006F28AC">
      <w:pPr>
        <w:rPr>
          <w:lang w:val="en-GB"/>
        </w:rPr>
      </w:pPr>
      <w:r>
        <w:rPr>
          <w:lang w:val="en-GB"/>
        </w:rPr>
        <w:t xml:space="preserve">To this purpose, </w:t>
      </w:r>
      <w:r w:rsidR="0095560C">
        <w:rPr>
          <w:lang w:val="en-GB"/>
        </w:rPr>
        <w:t xml:space="preserve">the </w:t>
      </w:r>
      <w:r w:rsidR="005D4F5B">
        <w:rPr>
          <w:lang w:val="en-GB"/>
        </w:rPr>
        <w:t xml:space="preserve">NPRACH demodulation performance </w:t>
      </w:r>
      <w:r w:rsidR="0095560C">
        <w:rPr>
          <w:lang w:val="en-GB"/>
        </w:rPr>
        <w:t xml:space="preserve">for TDD preamble 0 </w:t>
      </w:r>
      <w:r>
        <w:rPr>
          <w:lang w:val="en-GB"/>
        </w:rPr>
        <w:t xml:space="preserve">is compared </w:t>
      </w:r>
      <w:r w:rsidR="0095560C">
        <w:rPr>
          <w:lang w:val="en-GB"/>
        </w:rPr>
        <w:t xml:space="preserve">against FDD preamble 0 </w:t>
      </w:r>
      <w:r w:rsidR="00FD4155">
        <w:rPr>
          <w:lang w:val="en-GB"/>
        </w:rPr>
        <w:t xml:space="preserve">and FDD preamble 2 </w:t>
      </w:r>
      <w:r w:rsidR="0095560C">
        <w:rPr>
          <w:lang w:val="en-GB"/>
        </w:rPr>
        <w:t>in an analytical way</w:t>
      </w:r>
      <w:r>
        <w:rPr>
          <w:lang w:val="en-GB"/>
        </w:rPr>
        <w:t xml:space="preserve"> assuming the same receiver complexity</w:t>
      </w:r>
      <w:r w:rsidR="0095560C">
        <w:rPr>
          <w:lang w:val="en-GB"/>
        </w:rPr>
        <w:t xml:space="preserve">. </w:t>
      </w:r>
      <w:r>
        <w:rPr>
          <w:lang w:val="en-GB"/>
        </w:rPr>
        <w:t>In this comparison, t</w:t>
      </w:r>
      <w:r w:rsidR="0095560C">
        <w:rPr>
          <w:lang w:val="en-GB"/>
        </w:rPr>
        <w:t xml:space="preserve">he NPRACH demodulation performance </w:t>
      </w:r>
      <w:r w:rsidR="005D4F5B">
        <w:rPr>
          <w:lang w:val="en-GB"/>
        </w:rPr>
        <w:t xml:space="preserve">is achieved by coherently combining symbols in the same symbol group and non-coherently combining symbols of different symbol groups. The non-coherent gain is </w:t>
      </w:r>
      <w:r>
        <w:rPr>
          <w:lang w:val="en-GB"/>
        </w:rPr>
        <w:t>estimat</w:t>
      </w:r>
      <w:r w:rsidR="005D4F5B">
        <w:rPr>
          <w:lang w:val="en-GB"/>
        </w:rPr>
        <w:t>ed to be half of the coherent gain. The c</w:t>
      </w:r>
      <w:r w:rsidR="0098494A">
        <w:rPr>
          <w:lang w:val="en-GB"/>
        </w:rPr>
        <w:t>o</w:t>
      </w:r>
      <w:r w:rsidR="005D4F5B">
        <w:rPr>
          <w:lang w:val="en-GB"/>
        </w:rPr>
        <w:t>mparison</w:t>
      </w:r>
      <w:r w:rsidR="0098494A">
        <w:rPr>
          <w:lang w:val="en-GB"/>
        </w:rPr>
        <w:t xml:space="preserve"> analysis</w:t>
      </w:r>
      <w:r w:rsidR="005D4F5B">
        <w:rPr>
          <w:lang w:val="en-GB"/>
        </w:rPr>
        <w:t xml:space="preserve"> is shown in Table </w:t>
      </w:r>
      <w:r w:rsidR="000F2046">
        <w:rPr>
          <w:lang w:val="en-GB"/>
        </w:rPr>
        <w:t>4</w:t>
      </w:r>
      <w:r w:rsidR="0095560C">
        <w:rPr>
          <w:lang w:val="en-GB"/>
        </w:rPr>
        <w:t xml:space="preserve"> for the AWGN channel</w:t>
      </w:r>
      <w:r w:rsidR="005D4F5B">
        <w:rPr>
          <w:lang w:val="en-GB"/>
        </w:rPr>
        <w:t xml:space="preserve">. </w:t>
      </w:r>
    </w:p>
    <w:p w:rsidR="005D4F5B" w:rsidRDefault="005D4F5B" w:rsidP="005D4F5B">
      <w:pPr>
        <w:pStyle w:val="Caption"/>
        <w:keepNext/>
      </w:pPr>
      <w:r>
        <w:t xml:space="preserve">Table </w:t>
      </w:r>
      <w:r w:rsidR="000F2046">
        <w:t>4</w:t>
      </w:r>
      <w:r>
        <w:t>: Comparison</w:t>
      </w:r>
      <w:r>
        <w:rPr>
          <w:rFonts w:eastAsia="Calibri" w:cs="Times New Roman"/>
          <w:szCs w:val="20"/>
          <w:lang w:val="en-GB"/>
        </w:rPr>
        <w:t xml:space="preserve"> of preamble gain for NPRACH preamble format 0 </w:t>
      </w:r>
      <w:r w:rsidR="000F2046">
        <w:rPr>
          <w:rFonts w:eastAsia="Calibri" w:cs="Times New Roman"/>
          <w:szCs w:val="20"/>
          <w:lang w:val="en-GB"/>
        </w:rPr>
        <w:t xml:space="preserve">and 2 </w:t>
      </w:r>
      <w:r w:rsidR="00B20B2E">
        <w:rPr>
          <w:rFonts w:eastAsia="Calibri" w:cs="Times New Roman"/>
          <w:szCs w:val="20"/>
          <w:lang w:val="en-GB"/>
        </w:rPr>
        <w:t xml:space="preserve">for FDD </w:t>
      </w:r>
      <w:r w:rsidR="000F2046">
        <w:rPr>
          <w:rFonts w:eastAsia="Calibri" w:cs="Times New Roman"/>
          <w:szCs w:val="20"/>
          <w:lang w:val="en-GB"/>
        </w:rPr>
        <w:t>with 0 for</w:t>
      </w:r>
      <w:r w:rsidR="00B20B2E">
        <w:rPr>
          <w:rFonts w:eastAsia="Calibri" w:cs="Times New Roman"/>
          <w:szCs w:val="20"/>
          <w:lang w:val="en-GB"/>
        </w:rPr>
        <w:t xml:space="preserve"> TDD</w:t>
      </w:r>
      <w:r>
        <w:rPr>
          <w:rFonts w:eastAsia="Calibri" w:cs="Times New Roman"/>
          <w:szCs w:val="20"/>
          <w:lang w:val="en-GB"/>
        </w:rPr>
        <w:t xml:space="preserve"> (AWGN).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1"/>
        <w:gridCol w:w="2089"/>
        <w:gridCol w:w="2126"/>
        <w:gridCol w:w="2127"/>
      </w:tblGrid>
      <w:tr w:rsidR="00FD4155" w:rsidTr="00FD4155">
        <w:tc>
          <w:tcPr>
            <w:tcW w:w="3151" w:type="dxa"/>
          </w:tcPr>
          <w:p w:rsidR="00FD4155" w:rsidRPr="005D4F5B" w:rsidRDefault="00FD4155" w:rsidP="006F28A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5D4F5B">
              <w:rPr>
                <w:rFonts w:ascii="Arial" w:hAnsi="Arial" w:cs="Arial"/>
                <w:b/>
                <w:sz w:val="18"/>
                <w:szCs w:val="18"/>
                <w:lang w:val="en-GB"/>
              </w:rPr>
              <w:t>Parameter</w:t>
            </w:r>
          </w:p>
        </w:tc>
        <w:tc>
          <w:tcPr>
            <w:tcW w:w="2089" w:type="dxa"/>
          </w:tcPr>
          <w:p w:rsidR="00FD4155" w:rsidRDefault="00FD4155" w:rsidP="006F28A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5D4F5B">
              <w:rPr>
                <w:rFonts w:ascii="Arial" w:hAnsi="Arial" w:cs="Arial"/>
                <w:b/>
                <w:sz w:val="18"/>
                <w:szCs w:val="18"/>
                <w:lang w:val="en-GB"/>
              </w:rPr>
              <w:t>FDD preamble</w:t>
            </w:r>
          </w:p>
          <w:p w:rsidR="00FD4155" w:rsidRPr="005D4F5B" w:rsidRDefault="00FD4155" w:rsidP="006F28A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5D4F5B">
              <w:rPr>
                <w:rFonts w:ascii="Arial" w:hAnsi="Arial" w:cs="Arial"/>
                <w:b/>
                <w:sz w:val="18"/>
                <w:szCs w:val="18"/>
                <w:lang w:val="en-GB"/>
              </w:rPr>
              <w:t>format 0</w:t>
            </w:r>
          </w:p>
        </w:tc>
        <w:tc>
          <w:tcPr>
            <w:tcW w:w="2126" w:type="dxa"/>
          </w:tcPr>
          <w:p w:rsidR="00FD4155" w:rsidRDefault="00FD4155" w:rsidP="00FD4155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5D4F5B">
              <w:rPr>
                <w:rFonts w:ascii="Arial" w:hAnsi="Arial" w:cs="Arial"/>
                <w:b/>
                <w:sz w:val="18"/>
                <w:szCs w:val="18"/>
                <w:lang w:val="en-GB"/>
              </w:rPr>
              <w:t>FDD preamble</w:t>
            </w:r>
          </w:p>
          <w:p w:rsidR="00FD4155" w:rsidRDefault="00FD4155" w:rsidP="00FD4155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5D4F5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format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</w:t>
            </w:r>
          </w:p>
        </w:tc>
        <w:tc>
          <w:tcPr>
            <w:tcW w:w="2127" w:type="dxa"/>
          </w:tcPr>
          <w:p w:rsidR="00FD4155" w:rsidRDefault="00FD4155" w:rsidP="006F28A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T</w:t>
            </w:r>
            <w:r w:rsidRPr="005D4F5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DD preamble </w:t>
            </w:r>
          </w:p>
          <w:p w:rsidR="00FD4155" w:rsidRPr="005D4F5B" w:rsidRDefault="00FD4155" w:rsidP="006F28A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5D4F5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format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0</w:t>
            </w:r>
          </w:p>
        </w:tc>
      </w:tr>
      <w:tr w:rsidR="00FD4155" w:rsidTr="00FD4155">
        <w:tc>
          <w:tcPr>
            <w:tcW w:w="3151" w:type="dxa"/>
          </w:tcPr>
          <w:p w:rsidR="00FD4155" w:rsidRDefault="00FD4155" w:rsidP="00FD4155">
            <w:pPr>
              <w:rPr>
                <w:lang w:val="en-GB"/>
              </w:rPr>
            </w:pPr>
            <w:r w:rsidRPr="0078558C">
              <w:t>Number of</w:t>
            </w:r>
            <w:r>
              <w:t xml:space="preserve"> symbols in symbol group N</w:t>
            </w:r>
          </w:p>
        </w:tc>
        <w:tc>
          <w:tcPr>
            <w:tcW w:w="2089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126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127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FD4155" w:rsidTr="00FD4155">
        <w:tc>
          <w:tcPr>
            <w:tcW w:w="3151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 xml:space="preserve">Number of symbol groups per preamble P </w:t>
            </w:r>
          </w:p>
        </w:tc>
        <w:tc>
          <w:tcPr>
            <w:tcW w:w="2089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126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2127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FD4155" w:rsidTr="00FD4155">
        <w:tc>
          <w:tcPr>
            <w:tcW w:w="3151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Number of subcarriers in 45 kHz narrow band</w:t>
            </w:r>
          </w:p>
        </w:tc>
        <w:tc>
          <w:tcPr>
            <w:tcW w:w="2089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2126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</w:tc>
        <w:tc>
          <w:tcPr>
            <w:tcW w:w="2127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</w:tr>
      <w:tr w:rsidR="00FD4155" w:rsidTr="00FD4155">
        <w:tc>
          <w:tcPr>
            <w:tcW w:w="3151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 xml:space="preserve">Coherent gain in symbol group </w:t>
            </w:r>
          </w:p>
        </w:tc>
        <w:tc>
          <w:tcPr>
            <w:tcW w:w="2089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 xml:space="preserve">7 dB </w:t>
            </w:r>
          </w:p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(=10 * log10(5))</w:t>
            </w:r>
          </w:p>
        </w:tc>
        <w:tc>
          <w:tcPr>
            <w:tcW w:w="2126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 xml:space="preserve">4.8 dB </w:t>
            </w:r>
          </w:p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(=10*log10(3))</w:t>
            </w:r>
          </w:p>
        </w:tc>
        <w:tc>
          <w:tcPr>
            <w:tcW w:w="2127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0 dB</w:t>
            </w:r>
          </w:p>
        </w:tc>
      </w:tr>
      <w:tr w:rsidR="00FD4155" w:rsidTr="00FD4155">
        <w:tc>
          <w:tcPr>
            <w:tcW w:w="3151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Non-coherent gain between symbol groups</w:t>
            </w:r>
          </w:p>
        </w:tc>
        <w:tc>
          <w:tcPr>
            <w:tcW w:w="2089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 xml:space="preserve">3 dB </w:t>
            </w:r>
          </w:p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 xml:space="preserve">(= 0.5*10*log10(4)) </w:t>
            </w:r>
          </w:p>
        </w:tc>
        <w:tc>
          <w:tcPr>
            <w:tcW w:w="2126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 xml:space="preserve">3.9 dB </w:t>
            </w:r>
          </w:p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(=0.5*10*log10(6))</w:t>
            </w:r>
          </w:p>
        </w:tc>
        <w:tc>
          <w:tcPr>
            <w:tcW w:w="2127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 xml:space="preserve">3 dB </w:t>
            </w:r>
          </w:p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(= 0.5*10*log10(4))</w:t>
            </w:r>
          </w:p>
        </w:tc>
      </w:tr>
      <w:tr w:rsidR="00FD4155" w:rsidTr="00FD4155">
        <w:tc>
          <w:tcPr>
            <w:tcW w:w="3151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Total gain of preamble over symbol</w:t>
            </w:r>
          </w:p>
        </w:tc>
        <w:tc>
          <w:tcPr>
            <w:tcW w:w="2089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10 dB</w:t>
            </w:r>
          </w:p>
        </w:tc>
        <w:tc>
          <w:tcPr>
            <w:tcW w:w="2126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8.7 dB</w:t>
            </w:r>
          </w:p>
        </w:tc>
        <w:tc>
          <w:tcPr>
            <w:tcW w:w="2127" w:type="dxa"/>
          </w:tcPr>
          <w:p w:rsidR="00FD4155" w:rsidRDefault="00FD4155" w:rsidP="00FD4155">
            <w:pPr>
              <w:rPr>
                <w:lang w:val="en-GB"/>
              </w:rPr>
            </w:pPr>
            <w:r>
              <w:rPr>
                <w:lang w:val="en-GB"/>
              </w:rPr>
              <w:t>3 dB</w:t>
            </w:r>
          </w:p>
        </w:tc>
      </w:tr>
    </w:tbl>
    <w:p w:rsidR="00B03C53" w:rsidRDefault="00B03C53" w:rsidP="006F28AC">
      <w:pPr>
        <w:rPr>
          <w:lang w:val="en-GB"/>
        </w:rPr>
      </w:pPr>
    </w:p>
    <w:p w:rsidR="000F2046" w:rsidRDefault="005D4F5B" w:rsidP="0098494A">
      <w:pPr>
        <w:rPr>
          <w:lang w:val="en-GB"/>
        </w:rPr>
      </w:pPr>
      <w:r>
        <w:rPr>
          <w:lang w:val="en-GB"/>
        </w:rPr>
        <w:t xml:space="preserve">Table </w:t>
      </w:r>
      <w:r w:rsidR="000F2046">
        <w:rPr>
          <w:lang w:val="en-GB"/>
        </w:rPr>
        <w:t>4</w:t>
      </w:r>
      <w:r>
        <w:rPr>
          <w:lang w:val="en-GB"/>
        </w:rPr>
        <w:t xml:space="preserve"> depicts a difference of </w:t>
      </w:r>
      <w:r w:rsidR="00B20B2E">
        <w:rPr>
          <w:lang w:val="en-GB"/>
        </w:rPr>
        <w:t>7</w:t>
      </w:r>
      <w:r>
        <w:rPr>
          <w:lang w:val="en-GB"/>
        </w:rPr>
        <w:t xml:space="preserve"> dB </w:t>
      </w:r>
      <w:r w:rsidR="00DB32BB">
        <w:rPr>
          <w:lang w:val="en-GB"/>
        </w:rPr>
        <w:t xml:space="preserve">in the total gain </w:t>
      </w:r>
      <w:r w:rsidR="000F2046">
        <w:rPr>
          <w:lang w:val="en-GB"/>
        </w:rPr>
        <w:t xml:space="preserve">between FDD preamble format 0 and TDD preamble format 0 </w:t>
      </w:r>
      <w:r>
        <w:rPr>
          <w:lang w:val="en-GB"/>
        </w:rPr>
        <w:t xml:space="preserve">for the above taken assumptions. This means that for AWGN channel a relative loss of </w:t>
      </w:r>
      <w:r w:rsidR="0095560C">
        <w:rPr>
          <w:lang w:val="en-GB"/>
        </w:rPr>
        <w:t>7</w:t>
      </w:r>
      <w:r>
        <w:rPr>
          <w:lang w:val="en-GB"/>
        </w:rPr>
        <w:t xml:space="preserve"> dB is observed </w:t>
      </w:r>
      <w:r w:rsidR="005D4B8B">
        <w:rPr>
          <w:lang w:val="en-GB"/>
        </w:rPr>
        <w:t xml:space="preserve">for NPRACH </w:t>
      </w:r>
      <w:r w:rsidR="0095560C">
        <w:rPr>
          <w:lang w:val="en-GB"/>
        </w:rPr>
        <w:t>T</w:t>
      </w:r>
      <w:r w:rsidR="005D4B8B">
        <w:rPr>
          <w:lang w:val="en-GB"/>
        </w:rPr>
        <w:t xml:space="preserve">DD preamble format </w:t>
      </w:r>
      <w:r w:rsidR="0095560C">
        <w:rPr>
          <w:lang w:val="en-GB"/>
        </w:rPr>
        <w:t>0</w:t>
      </w:r>
      <w:r w:rsidR="005D4B8B">
        <w:rPr>
          <w:lang w:val="en-GB"/>
        </w:rPr>
        <w:t xml:space="preserve"> </w:t>
      </w:r>
      <w:r>
        <w:rPr>
          <w:lang w:val="en-GB"/>
        </w:rPr>
        <w:t xml:space="preserve">versus NPRACH FDD preamble format 0. </w:t>
      </w:r>
      <w:r w:rsidR="000F2046">
        <w:rPr>
          <w:lang w:val="en-GB"/>
        </w:rPr>
        <w:t xml:space="preserve">There against the preliminary performance requirement for TDD preamble format 0, AWGN and 8 repetitions, is -17.8 dB </w:t>
      </w:r>
      <w:r w:rsidR="00023724">
        <w:rPr>
          <w:lang w:val="en-GB"/>
        </w:rPr>
        <w:t xml:space="preserve">(in Table 3) </w:t>
      </w:r>
      <w:r w:rsidR="000F2046">
        <w:rPr>
          <w:lang w:val="en-GB"/>
        </w:rPr>
        <w:t xml:space="preserve">against the existing performance requirement of -2.1 dB for FDD preamble format 0 in Rel-13, hence </w:t>
      </w:r>
      <w:r w:rsidR="0033542F">
        <w:rPr>
          <w:lang w:val="en-GB"/>
        </w:rPr>
        <w:t xml:space="preserve">is </w:t>
      </w:r>
      <w:r w:rsidR="000F2046">
        <w:rPr>
          <w:lang w:val="en-GB"/>
        </w:rPr>
        <w:t>15.</w:t>
      </w:r>
      <w:r w:rsidR="00023724">
        <w:rPr>
          <w:lang w:val="en-GB"/>
        </w:rPr>
        <w:t>7</w:t>
      </w:r>
      <w:r w:rsidR="000F2046">
        <w:rPr>
          <w:lang w:val="en-GB"/>
        </w:rPr>
        <w:t xml:space="preserve"> dB tighter. </w:t>
      </w:r>
    </w:p>
    <w:p w:rsidR="000F2046" w:rsidRDefault="000F2046" w:rsidP="000F2046">
      <w:pPr>
        <w:rPr>
          <w:lang w:val="en-GB"/>
        </w:rPr>
      </w:pPr>
      <w:r>
        <w:rPr>
          <w:lang w:val="en-GB"/>
        </w:rPr>
        <w:t xml:space="preserve">Furthermore, Table 4 depicts a difference of 5.7 dB in the total gain between FDD preamble format 2 and TDD preamble format 0 for the above taken assumptions. This means that for AWGN channel a relative loss of 5.7 dB is observed for NPRACH TDD preamble format 0 versus NPRACH FDD preamble format 2. There against the </w:t>
      </w:r>
      <w:r>
        <w:rPr>
          <w:lang w:val="en-GB"/>
        </w:rPr>
        <w:lastRenderedPageBreak/>
        <w:t xml:space="preserve">preliminary performance requirement for TDD preamble format 0, AWGN and 8 repetitions, is -17.8 dB </w:t>
      </w:r>
      <w:r w:rsidR="00023724">
        <w:rPr>
          <w:lang w:val="en-GB"/>
        </w:rPr>
        <w:t xml:space="preserve">(in Table 3) </w:t>
      </w:r>
      <w:r>
        <w:rPr>
          <w:lang w:val="en-GB"/>
        </w:rPr>
        <w:t>against the existing preliminary performance requirement of -3.9 dB for FDD preamble format 2 in Rel-15</w:t>
      </w:r>
      <w:r w:rsidR="00023724">
        <w:rPr>
          <w:lang w:val="en-GB"/>
        </w:rPr>
        <w:t xml:space="preserve"> (see TS 36.104)</w:t>
      </w:r>
      <w:r>
        <w:rPr>
          <w:lang w:val="en-GB"/>
        </w:rPr>
        <w:t xml:space="preserve">, hence </w:t>
      </w:r>
      <w:r w:rsidR="0033542F">
        <w:rPr>
          <w:lang w:val="en-GB"/>
        </w:rPr>
        <w:t xml:space="preserve">is </w:t>
      </w:r>
      <w:r>
        <w:rPr>
          <w:lang w:val="en-GB"/>
        </w:rPr>
        <w:t xml:space="preserve">13.9 dB tighter. </w:t>
      </w:r>
    </w:p>
    <w:p w:rsidR="000F2046" w:rsidRDefault="005D4B8B" w:rsidP="000F2046">
      <w:pPr>
        <w:rPr>
          <w:lang w:val="en-GB"/>
        </w:rPr>
      </w:pPr>
      <w:r>
        <w:rPr>
          <w:lang w:val="en-GB"/>
        </w:rPr>
        <w:t xml:space="preserve">Thus, it is not plausible to </w:t>
      </w:r>
      <w:r w:rsidR="0033542F">
        <w:rPr>
          <w:lang w:val="en-GB"/>
        </w:rPr>
        <w:t>specify</w:t>
      </w:r>
      <w:r>
        <w:rPr>
          <w:lang w:val="en-GB"/>
        </w:rPr>
        <w:t xml:space="preserve"> improved performance for NPRACH </w:t>
      </w:r>
      <w:r w:rsidR="00DB32BB">
        <w:rPr>
          <w:lang w:val="en-GB"/>
        </w:rPr>
        <w:t>T</w:t>
      </w:r>
      <w:r>
        <w:rPr>
          <w:lang w:val="en-GB"/>
        </w:rPr>
        <w:t xml:space="preserve">DD preamble </w:t>
      </w:r>
      <w:r w:rsidR="000F2046">
        <w:rPr>
          <w:lang w:val="en-GB"/>
        </w:rPr>
        <w:t xml:space="preserve">format </w:t>
      </w:r>
      <w:r w:rsidR="00DB32BB">
        <w:rPr>
          <w:lang w:val="en-GB"/>
        </w:rPr>
        <w:t xml:space="preserve">0 </w:t>
      </w:r>
      <w:r w:rsidR="000F2046">
        <w:rPr>
          <w:lang w:val="en-GB"/>
        </w:rPr>
        <w:t xml:space="preserve">in the preliminary requirements </w:t>
      </w:r>
      <w:r w:rsidR="00DB32BB">
        <w:rPr>
          <w:lang w:val="en-GB"/>
        </w:rPr>
        <w:t xml:space="preserve">versus </w:t>
      </w:r>
      <w:r w:rsidR="000F2046">
        <w:rPr>
          <w:lang w:val="en-GB"/>
        </w:rPr>
        <w:t xml:space="preserve">the </w:t>
      </w:r>
      <w:r w:rsidR="00023724">
        <w:rPr>
          <w:lang w:val="en-GB"/>
        </w:rPr>
        <w:t xml:space="preserve">requirement for </w:t>
      </w:r>
      <w:r w:rsidR="00DB32BB">
        <w:rPr>
          <w:lang w:val="en-GB"/>
        </w:rPr>
        <w:t xml:space="preserve">NPRACH FDD preamble </w:t>
      </w:r>
      <w:r w:rsidR="000F2046">
        <w:rPr>
          <w:lang w:val="en-GB"/>
        </w:rPr>
        <w:t xml:space="preserve">format </w:t>
      </w:r>
      <w:r w:rsidR="00DB32BB">
        <w:rPr>
          <w:lang w:val="en-GB"/>
        </w:rPr>
        <w:t xml:space="preserve">0 </w:t>
      </w:r>
      <w:r w:rsidR="000F2046">
        <w:rPr>
          <w:lang w:val="en-GB"/>
        </w:rPr>
        <w:t xml:space="preserve">as specified in Rel-13, or versus the preliminary requirement of NPRACH FDD preamble format 2 as proposed to be specified for Rel-15. </w:t>
      </w:r>
    </w:p>
    <w:p w:rsidR="00023724" w:rsidRDefault="00023724" w:rsidP="000F2046">
      <w:pPr>
        <w:rPr>
          <w:lang w:val="en-GB"/>
        </w:rPr>
      </w:pPr>
      <w:r>
        <w:rPr>
          <w:lang w:val="en-GB"/>
        </w:rPr>
        <w:t>Moreover, as only two companies are contributing to NPRACH TDD performance requirements</w:t>
      </w:r>
      <w:r w:rsidR="0033542F">
        <w:rPr>
          <w:lang w:val="en-GB"/>
        </w:rPr>
        <w:t xml:space="preserve"> in Rel-15</w:t>
      </w:r>
      <w:r>
        <w:rPr>
          <w:lang w:val="en-GB"/>
        </w:rPr>
        <w:t xml:space="preserve">, </w:t>
      </w:r>
      <w:r w:rsidR="0033542F">
        <w:rPr>
          <w:lang w:val="en-GB"/>
        </w:rPr>
        <w:t>each</w:t>
      </w:r>
      <w:r>
        <w:rPr>
          <w:lang w:val="en-GB"/>
        </w:rPr>
        <w:t xml:space="preserve"> performance requirement should be derived from the least stringent proposal.</w:t>
      </w:r>
    </w:p>
    <w:p w:rsidR="0098494A" w:rsidRPr="0033542F" w:rsidRDefault="0098494A" w:rsidP="006F28AC">
      <w:pPr>
        <w:pStyle w:val="RAN4proposal"/>
        <w:ind w:left="0" w:firstLine="0"/>
      </w:pPr>
      <w:r>
        <w:t xml:space="preserve">Agree the proposed figures from Nokia in Table 1 for </w:t>
      </w:r>
      <w:r w:rsidR="0033542F">
        <w:t>final NPRACH TDD</w:t>
      </w:r>
      <w:r w:rsidR="0033542F" w:rsidRPr="0033542F">
        <w:t xml:space="preserve"> </w:t>
      </w:r>
      <w:r w:rsidR="0033542F">
        <w:t>performance requirements in Rel-15</w:t>
      </w:r>
      <w:r>
        <w:t>.</w:t>
      </w:r>
    </w:p>
    <w:p w:rsidR="00CD7492" w:rsidRPr="0095295C" w:rsidRDefault="00CD7492" w:rsidP="00A37002">
      <w:pPr>
        <w:pStyle w:val="RAN4H1"/>
      </w:pPr>
      <w:r w:rsidRPr="00A37002">
        <w:t>Conclusion</w:t>
      </w:r>
    </w:p>
    <w:p w:rsidR="0098494A" w:rsidRDefault="0098494A" w:rsidP="0098494A">
      <w:pPr>
        <w:rPr>
          <w:lang w:val="en-GB"/>
        </w:rPr>
      </w:pPr>
      <w:r>
        <w:rPr>
          <w:lang w:val="en-GB"/>
        </w:rPr>
        <w:t xml:space="preserve">This contribution lists </w:t>
      </w:r>
      <w:r>
        <w:rPr>
          <w:rFonts w:eastAsia="Calibri" w:cs="Times New Roman"/>
          <w:szCs w:val="20"/>
          <w:lang w:val="en-GB"/>
        </w:rPr>
        <w:t xml:space="preserve">our proposals for </w:t>
      </w:r>
      <w:r w:rsidR="00DB32BB">
        <w:rPr>
          <w:rFonts w:eastAsia="Calibri" w:cs="Times New Roman"/>
          <w:szCs w:val="20"/>
          <w:lang w:val="en-GB"/>
        </w:rPr>
        <w:t xml:space="preserve">NPRACH </w:t>
      </w:r>
      <w:r>
        <w:rPr>
          <w:rFonts w:eastAsia="Calibri" w:cs="Times New Roman"/>
          <w:szCs w:val="20"/>
          <w:lang w:val="en-GB"/>
        </w:rPr>
        <w:t xml:space="preserve">performance requirements for </w:t>
      </w:r>
      <w:r w:rsidR="00DB32BB">
        <w:rPr>
          <w:rFonts w:eastAsia="Calibri" w:cs="Times New Roman"/>
          <w:szCs w:val="20"/>
          <w:lang w:val="en-GB"/>
        </w:rPr>
        <w:t>T</w:t>
      </w:r>
      <w:r>
        <w:rPr>
          <w:rFonts w:eastAsia="Calibri" w:cs="Times New Roman"/>
          <w:szCs w:val="20"/>
          <w:lang w:val="en-GB"/>
        </w:rPr>
        <w:t>DD preamble</w:t>
      </w:r>
      <w:r w:rsidR="00DB32BB">
        <w:rPr>
          <w:rFonts w:eastAsia="Calibri" w:cs="Times New Roman"/>
          <w:szCs w:val="20"/>
          <w:lang w:val="en-GB"/>
        </w:rPr>
        <w:t xml:space="preserve"> formats 0,1, 0-a, 1-a</w:t>
      </w:r>
      <w:r>
        <w:rPr>
          <w:rFonts w:eastAsia="Calibri" w:cs="Times New Roman"/>
          <w:szCs w:val="20"/>
          <w:lang w:val="en-GB"/>
        </w:rPr>
        <w:t xml:space="preserve">, </w:t>
      </w:r>
      <w:r w:rsidR="00DB32BB">
        <w:rPr>
          <w:rFonts w:eastAsia="Calibri" w:cs="Times New Roman"/>
          <w:szCs w:val="20"/>
          <w:lang w:val="en-GB"/>
        </w:rPr>
        <w:t xml:space="preserve">as </w:t>
      </w:r>
      <w:r>
        <w:rPr>
          <w:rFonts w:eastAsia="Calibri" w:cs="Times New Roman"/>
          <w:szCs w:val="20"/>
          <w:lang w:val="en-GB"/>
        </w:rPr>
        <w:t>introduced in 3GPP Rel-15.</w:t>
      </w:r>
      <w:r>
        <w:rPr>
          <w:lang w:val="en-GB"/>
        </w:rPr>
        <w:t xml:space="preserve"> It is proposed to agree the following proposal:</w:t>
      </w:r>
    </w:p>
    <w:p w:rsidR="0033542F" w:rsidRPr="0033542F" w:rsidRDefault="0033542F" w:rsidP="0033542F">
      <w:pPr>
        <w:rPr>
          <w:b/>
          <w:lang w:val="en-GB"/>
        </w:rPr>
      </w:pPr>
      <w:r w:rsidRPr="0033542F">
        <w:rPr>
          <w:b/>
          <w:lang w:val="en-GB"/>
        </w:rPr>
        <w:t xml:space="preserve">Proposal 1: </w:t>
      </w:r>
      <w:r w:rsidRPr="0033542F">
        <w:rPr>
          <w:b/>
        </w:rPr>
        <w:t>Agree the proposed figures from Nokia in Table 1 for final NPRACH TDD performance requirements</w:t>
      </w:r>
      <w:r>
        <w:rPr>
          <w:b/>
        </w:rPr>
        <w:t xml:space="preserve"> </w:t>
      </w:r>
      <w:r w:rsidRPr="0033542F">
        <w:rPr>
          <w:b/>
        </w:rPr>
        <w:t>in Rel-15.</w:t>
      </w:r>
    </w:p>
    <w:p w:rsidR="0098494A" w:rsidRPr="0098494A" w:rsidRDefault="0098494A" w:rsidP="0098494A">
      <w:r>
        <w:t>The compan</w:t>
      </w:r>
      <w:r w:rsidR="000B3D00">
        <w:t>ion</w:t>
      </w:r>
      <w:r>
        <w:t xml:space="preserve"> CR</w:t>
      </w:r>
      <w:r w:rsidR="000B3D00">
        <w:t>s</w:t>
      </w:r>
      <w:r>
        <w:t xml:space="preserve"> </w:t>
      </w:r>
      <w:r w:rsidR="000B3D00">
        <w:t>are</w:t>
      </w:r>
      <w:r>
        <w:t xml:space="preserve"> submitted in [</w:t>
      </w:r>
      <w:r w:rsidR="0033542F">
        <w:t>5</w:t>
      </w:r>
      <w:r>
        <w:t>]</w:t>
      </w:r>
      <w:r w:rsidR="000B3D00">
        <w:t xml:space="preserve"> and [</w:t>
      </w:r>
      <w:r w:rsidR="0033542F">
        <w:t>6</w:t>
      </w:r>
      <w:r w:rsidR="000B3D00">
        <w:t>]</w:t>
      </w:r>
      <w:r>
        <w:t>.</w:t>
      </w:r>
    </w:p>
    <w:p w:rsidR="003B659E" w:rsidRPr="0095295C" w:rsidRDefault="003B659E" w:rsidP="0008612A">
      <w:pPr>
        <w:pStyle w:val="RAN4H1"/>
      </w:pPr>
      <w:r w:rsidRPr="0095295C">
        <w:t>References</w:t>
      </w:r>
    </w:p>
    <w:p w:rsidR="00F261F2" w:rsidRPr="00DC1AEA" w:rsidRDefault="003B659E" w:rsidP="00F261F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Ref431017336"/>
      <w:r w:rsidRPr="00DC1AEA">
        <w:rPr>
          <w:rFonts w:eastAsia="Times New Roman" w:cs="Times New Roman"/>
          <w:szCs w:val="20"/>
          <w:lang w:val="en-GB"/>
        </w:rPr>
        <w:t>R4-1</w:t>
      </w:r>
      <w:r w:rsidR="00F231E7" w:rsidRPr="00DC1AEA">
        <w:rPr>
          <w:rFonts w:eastAsia="Times New Roman" w:cs="Times New Roman"/>
          <w:szCs w:val="20"/>
          <w:lang w:val="en-GB"/>
        </w:rPr>
        <w:t xml:space="preserve">902061, CR 36.104-4834 </w:t>
      </w:r>
      <w:r w:rsidR="00DC1AEA" w:rsidRPr="00DC1AEA">
        <w:fldChar w:fldCharType="begin"/>
      </w:r>
      <w:r w:rsidR="00DC1AEA" w:rsidRPr="00DC1AEA">
        <w:instrText xml:space="preserve"> DOCPROPERTY  CrTitle  \* MERGEFORMAT </w:instrText>
      </w:r>
      <w:r w:rsidR="00DC1AEA" w:rsidRPr="00DC1AEA">
        <w:fldChar w:fldCharType="separate"/>
      </w:r>
      <w:r w:rsidR="00F231E7" w:rsidRPr="00DC1AEA">
        <w:t>Addition of demodulation performance for new NPRACH</w:t>
      </w:r>
      <w:r w:rsidR="00DC1AEA" w:rsidRPr="00DC1AEA">
        <w:fldChar w:fldCharType="end"/>
      </w:r>
      <w:r w:rsidR="00F231E7" w:rsidRPr="00DC1AEA">
        <w:t xml:space="preserve"> formats, </w:t>
      </w:r>
      <w:r w:rsidR="00F231E7" w:rsidRPr="00DC1AEA">
        <w:rPr>
          <w:rFonts w:eastAsia="Times New Roman" w:cs="Times New Roman"/>
          <w:szCs w:val="20"/>
          <w:lang w:val="en-GB"/>
        </w:rPr>
        <w:t xml:space="preserve">Huawei, </w:t>
      </w:r>
      <w:proofErr w:type="spellStart"/>
      <w:r w:rsidR="00F231E7" w:rsidRPr="00DC1AEA">
        <w:rPr>
          <w:rFonts w:eastAsia="Times New Roman" w:cs="Times New Roman"/>
          <w:szCs w:val="20"/>
          <w:lang w:val="en-GB"/>
        </w:rPr>
        <w:t>HiSilicon</w:t>
      </w:r>
      <w:bookmarkEnd w:id="4"/>
      <w:proofErr w:type="spellEnd"/>
    </w:p>
    <w:p w:rsidR="00F261F2" w:rsidRPr="00DC1AEA" w:rsidRDefault="00F261F2" w:rsidP="00F261F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C1AEA">
        <w:rPr>
          <w:rFonts w:eastAsia="Times New Roman" w:cs="Times New Roman"/>
          <w:szCs w:val="20"/>
          <w:lang w:val="en-GB"/>
        </w:rPr>
        <w:t>R4-1904102, Demodulation performance for NPRACH TDD preamble formats, source: Nokia, Nokia Shanghai Bell</w:t>
      </w:r>
    </w:p>
    <w:p w:rsidR="00F261F2" w:rsidRPr="00DC1AEA" w:rsidRDefault="00F261F2" w:rsidP="00F261F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C1AEA">
        <w:rPr>
          <w:rFonts w:eastAsia="Times New Roman" w:cs="Times New Roman"/>
          <w:szCs w:val="20"/>
          <w:lang w:val="en-GB"/>
        </w:rPr>
        <w:t>R4-190</w:t>
      </w:r>
      <w:r w:rsidR="00DC1AEA" w:rsidRPr="00DC1AEA">
        <w:rPr>
          <w:rFonts w:eastAsia="Times New Roman" w:cs="Times New Roman"/>
          <w:szCs w:val="20"/>
          <w:lang w:val="en-GB"/>
        </w:rPr>
        <w:t>6589</w:t>
      </w:r>
      <w:r w:rsidRPr="00DC1AEA">
        <w:rPr>
          <w:rFonts w:eastAsia="Times New Roman" w:cs="Times New Roman"/>
          <w:szCs w:val="20"/>
          <w:lang w:val="en-GB"/>
        </w:rPr>
        <w:t xml:space="preserve">, Updated Summary of simulation results for Rel-15 </w:t>
      </w:r>
      <w:proofErr w:type="spellStart"/>
      <w:r w:rsidRPr="00DC1AEA">
        <w:rPr>
          <w:rFonts w:eastAsia="Times New Roman" w:cs="Times New Roman"/>
          <w:szCs w:val="20"/>
          <w:lang w:val="en-GB"/>
        </w:rPr>
        <w:t>FeNB</w:t>
      </w:r>
      <w:proofErr w:type="spellEnd"/>
      <w:r w:rsidRPr="00DC1AEA">
        <w:rPr>
          <w:rFonts w:eastAsia="Times New Roman" w:cs="Times New Roman"/>
          <w:szCs w:val="20"/>
          <w:lang w:val="en-GB"/>
        </w:rPr>
        <w:t>-IoT NPRACH demodulation requirements, source: Nokia, Nokia Shanghai Bell</w:t>
      </w:r>
    </w:p>
    <w:p w:rsidR="00F261F2" w:rsidRPr="00DC1AEA" w:rsidRDefault="00F261F2" w:rsidP="003354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C1AEA">
        <w:rPr>
          <w:rFonts w:eastAsia="Times New Roman" w:cs="Times New Roman"/>
          <w:szCs w:val="20"/>
          <w:lang w:val="en-GB"/>
        </w:rPr>
        <w:t xml:space="preserve">R4-1901054, Summary of simulation results for Rel-15 </w:t>
      </w:r>
      <w:proofErr w:type="spellStart"/>
      <w:r w:rsidRPr="00DC1AEA">
        <w:rPr>
          <w:rFonts w:eastAsia="Times New Roman" w:cs="Times New Roman"/>
          <w:szCs w:val="20"/>
          <w:lang w:val="en-GB"/>
        </w:rPr>
        <w:t>FeNB</w:t>
      </w:r>
      <w:proofErr w:type="spellEnd"/>
      <w:r w:rsidRPr="00DC1AEA">
        <w:rPr>
          <w:rFonts w:eastAsia="Times New Roman" w:cs="Times New Roman"/>
          <w:szCs w:val="20"/>
          <w:lang w:val="en-GB"/>
        </w:rPr>
        <w:t xml:space="preserve">-IoT NPRACH demodulation requirement, source: Huawei, </w:t>
      </w:r>
      <w:proofErr w:type="spellStart"/>
      <w:r w:rsidRPr="00DC1AEA">
        <w:rPr>
          <w:rFonts w:eastAsia="Times New Roman" w:cs="Times New Roman"/>
          <w:szCs w:val="20"/>
          <w:lang w:val="en-GB"/>
        </w:rPr>
        <w:t>HiSilicon</w:t>
      </w:r>
      <w:proofErr w:type="spellEnd"/>
    </w:p>
    <w:p w:rsidR="0027038C" w:rsidRPr="00DC1AEA" w:rsidRDefault="0027038C" w:rsidP="0027038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C1AEA">
        <w:rPr>
          <w:rFonts w:eastAsia="Times New Roman" w:cs="Times New Roman"/>
          <w:szCs w:val="20"/>
          <w:lang w:val="en-GB"/>
        </w:rPr>
        <w:t>R4-190</w:t>
      </w:r>
      <w:r w:rsidR="00DC1AEA" w:rsidRPr="00DC1AEA">
        <w:rPr>
          <w:rFonts w:eastAsia="Times New Roman" w:cs="Times New Roman"/>
          <w:szCs w:val="20"/>
          <w:lang w:val="en-GB"/>
        </w:rPr>
        <w:t>6600</w:t>
      </w:r>
      <w:r w:rsidRPr="00DC1AEA">
        <w:rPr>
          <w:rFonts w:eastAsia="Times New Roman" w:cs="Times New Roman"/>
          <w:szCs w:val="20"/>
          <w:lang w:val="en-GB"/>
        </w:rPr>
        <w:t>, CR 36.104-48</w:t>
      </w:r>
      <w:r w:rsidR="00DC1AEA" w:rsidRPr="00DC1AEA">
        <w:rPr>
          <w:rFonts w:eastAsia="Times New Roman" w:cs="Times New Roman"/>
          <w:szCs w:val="20"/>
          <w:lang w:val="en-GB"/>
        </w:rPr>
        <w:t>69</w:t>
      </w:r>
      <w:r w:rsidRPr="00DC1AEA">
        <w:rPr>
          <w:rFonts w:eastAsia="Times New Roman" w:cs="Times New Roman"/>
          <w:szCs w:val="20"/>
          <w:lang w:val="en-GB"/>
        </w:rPr>
        <w:t xml:space="preserve"> </w:t>
      </w:r>
      <w:r w:rsidRPr="00DC1AEA">
        <w:t xml:space="preserve">Corrections to demodulation performance for NPRACH </w:t>
      </w:r>
      <w:r w:rsidR="00F261F2" w:rsidRPr="00DC1AEA">
        <w:t xml:space="preserve">TDD preamble </w:t>
      </w:r>
      <w:r w:rsidRPr="00DC1AEA">
        <w:t>formats (Rel-15)</w:t>
      </w:r>
      <w:r w:rsidRPr="00DC1AEA">
        <w:rPr>
          <w:rFonts w:eastAsia="Times New Roman" w:cs="Times New Roman"/>
          <w:szCs w:val="20"/>
          <w:lang w:val="en-GB"/>
        </w:rPr>
        <w:t>, source: Nokia, Nokia Shanghai Bell</w:t>
      </w:r>
      <w:r w:rsidRPr="00DC1AEA" w:rsidDel="00C651B9">
        <w:rPr>
          <w:rFonts w:eastAsia="Times New Roman" w:cs="Times New Roman"/>
          <w:szCs w:val="20"/>
          <w:lang w:val="en-GB"/>
        </w:rPr>
        <w:t xml:space="preserve"> </w:t>
      </w:r>
    </w:p>
    <w:p w:rsidR="0027038C" w:rsidRPr="00DC1AEA" w:rsidRDefault="0027038C" w:rsidP="0027038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C1AEA">
        <w:rPr>
          <w:rFonts w:eastAsia="Times New Roman" w:cs="Times New Roman"/>
          <w:szCs w:val="20"/>
          <w:lang w:val="en-GB"/>
        </w:rPr>
        <w:t>R4-190</w:t>
      </w:r>
      <w:r w:rsidR="00DC1AEA" w:rsidRPr="00DC1AEA">
        <w:rPr>
          <w:rFonts w:eastAsia="Times New Roman" w:cs="Times New Roman"/>
          <w:szCs w:val="20"/>
          <w:lang w:val="en-GB"/>
        </w:rPr>
        <w:t>6643</w:t>
      </w:r>
      <w:r w:rsidRPr="00DC1AEA">
        <w:rPr>
          <w:rFonts w:eastAsia="Times New Roman" w:cs="Times New Roman"/>
          <w:szCs w:val="20"/>
          <w:lang w:val="en-GB"/>
        </w:rPr>
        <w:t>, CR 36.141-12</w:t>
      </w:r>
      <w:r w:rsidR="00DC1AEA" w:rsidRPr="00DC1AEA">
        <w:rPr>
          <w:rFonts w:eastAsia="Times New Roman" w:cs="Times New Roman"/>
          <w:szCs w:val="20"/>
          <w:lang w:val="en-GB"/>
        </w:rPr>
        <w:t>27</w:t>
      </w:r>
      <w:r w:rsidRPr="00DC1AEA">
        <w:rPr>
          <w:rFonts w:eastAsia="Times New Roman" w:cs="Times New Roman"/>
          <w:szCs w:val="20"/>
          <w:lang w:val="en-GB"/>
        </w:rPr>
        <w:t xml:space="preserve"> </w:t>
      </w:r>
      <w:r w:rsidRPr="00DC1AEA">
        <w:t xml:space="preserve">Corrections to demodulation performance </w:t>
      </w:r>
      <w:r w:rsidR="00F261F2" w:rsidRPr="00DC1AEA">
        <w:t xml:space="preserve">for NPRACH TDD preamble </w:t>
      </w:r>
      <w:r w:rsidRPr="00DC1AEA">
        <w:t>formats</w:t>
      </w:r>
      <w:r w:rsidRPr="00DC1AEA">
        <w:rPr>
          <w:rFonts w:eastAsia="Times New Roman" w:cs="Times New Roman"/>
          <w:szCs w:val="20"/>
          <w:lang w:val="en-GB"/>
        </w:rPr>
        <w:t xml:space="preserve"> (Rel-15), source: Nokia, Nokia Shanghai Bell</w:t>
      </w:r>
      <w:r w:rsidRPr="00DC1AEA" w:rsidDel="00C651B9">
        <w:rPr>
          <w:rFonts w:eastAsia="Times New Roman" w:cs="Times New Roman"/>
          <w:szCs w:val="20"/>
          <w:lang w:val="en-GB"/>
        </w:rPr>
        <w:t xml:space="preserve"> </w:t>
      </w:r>
    </w:p>
    <w:p w:rsidR="003B659E" w:rsidRDefault="003B659E" w:rsidP="00841BCD">
      <w:pPr>
        <w:ind w:right="-22"/>
        <w:rPr>
          <w:lang w:val="en-GB"/>
        </w:rPr>
      </w:pPr>
    </w:p>
    <w:sectPr w:rsidR="003B659E" w:rsidSect="00806A76">
      <w:footerReference w:type="default" r:id="rId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213" w:rsidRDefault="00752213" w:rsidP="00001C9B">
      <w:pPr>
        <w:spacing w:after="0" w:line="240" w:lineRule="auto"/>
      </w:pPr>
      <w:r>
        <w:separator/>
      </w:r>
    </w:p>
  </w:endnote>
  <w:endnote w:type="continuationSeparator" w:id="0">
    <w:p w:rsidR="00752213" w:rsidRDefault="0075221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494A" w:rsidRDefault="0098494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8494A" w:rsidRDefault="00984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213" w:rsidRDefault="00752213" w:rsidP="00001C9B">
      <w:pPr>
        <w:spacing w:after="0" w:line="240" w:lineRule="auto"/>
      </w:pPr>
      <w:r>
        <w:separator/>
      </w:r>
    </w:p>
  </w:footnote>
  <w:footnote w:type="continuationSeparator" w:id="0">
    <w:p w:rsidR="00752213" w:rsidRDefault="0075221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6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0"/>
  </w:num>
  <w:num w:numId="16">
    <w:abstractNumId w:val="1"/>
  </w:num>
  <w:num w:numId="17">
    <w:abstractNumId w:val="8"/>
  </w:num>
  <w:num w:numId="18">
    <w:abstractNumId w:val="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3724"/>
    <w:rsid w:val="00062CF3"/>
    <w:rsid w:val="0008612A"/>
    <w:rsid w:val="000B0056"/>
    <w:rsid w:val="000B3D00"/>
    <w:rsid w:val="000F2046"/>
    <w:rsid w:val="00161971"/>
    <w:rsid w:val="001745F8"/>
    <w:rsid w:val="00176671"/>
    <w:rsid w:val="001838CF"/>
    <w:rsid w:val="001C2F6D"/>
    <w:rsid w:val="001E30F6"/>
    <w:rsid w:val="00235F5C"/>
    <w:rsid w:val="0027038C"/>
    <w:rsid w:val="002B4922"/>
    <w:rsid w:val="002C2D19"/>
    <w:rsid w:val="002D10FA"/>
    <w:rsid w:val="002D4C55"/>
    <w:rsid w:val="0033542F"/>
    <w:rsid w:val="00351CB5"/>
    <w:rsid w:val="003B659E"/>
    <w:rsid w:val="00417AA0"/>
    <w:rsid w:val="0043750A"/>
    <w:rsid w:val="00480EBB"/>
    <w:rsid w:val="004B7B4A"/>
    <w:rsid w:val="004E006D"/>
    <w:rsid w:val="004E5E66"/>
    <w:rsid w:val="00503B4D"/>
    <w:rsid w:val="00504EE9"/>
    <w:rsid w:val="0054442C"/>
    <w:rsid w:val="00550285"/>
    <w:rsid w:val="005836F8"/>
    <w:rsid w:val="005918FA"/>
    <w:rsid w:val="005D4B8B"/>
    <w:rsid w:val="005D4F5B"/>
    <w:rsid w:val="005E61A8"/>
    <w:rsid w:val="005F6419"/>
    <w:rsid w:val="00617400"/>
    <w:rsid w:val="00664950"/>
    <w:rsid w:val="00683220"/>
    <w:rsid w:val="00687FA0"/>
    <w:rsid w:val="006B7010"/>
    <w:rsid w:val="006F28AC"/>
    <w:rsid w:val="007145FF"/>
    <w:rsid w:val="00751515"/>
    <w:rsid w:val="00752213"/>
    <w:rsid w:val="00785232"/>
    <w:rsid w:val="007C3ED0"/>
    <w:rsid w:val="007E448E"/>
    <w:rsid w:val="00806A76"/>
    <w:rsid w:val="00811C9D"/>
    <w:rsid w:val="00816C80"/>
    <w:rsid w:val="00841BCD"/>
    <w:rsid w:val="008826C1"/>
    <w:rsid w:val="009042BD"/>
    <w:rsid w:val="009475B6"/>
    <w:rsid w:val="0095560C"/>
    <w:rsid w:val="00967205"/>
    <w:rsid w:val="00976ABD"/>
    <w:rsid w:val="00977E1D"/>
    <w:rsid w:val="0098494A"/>
    <w:rsid w:val="00995CDA"/>
    <w:rsid w:val="00A22B78"/>
    <w:rsid w:val="00A25AE5"/>
    <w:rsid w:val="00A37002"/>
    <w:rsid w:val="00AA1B0E"/>
    <w:rsid w:val="00AC5CA7"/>
    <w:rsid w:val="00AE56B1"/>
    <w:rsid w:val="00AF1751"/>
    <w:rsid w:val="00B03C53"/>
    <w:rsid w:val="00B20B2E"/>
    <w:rsid w:val="00B73862"/>
    <w:rsid w:val="00BA6E48"/>
    <w:rsid w:val="00BA724E"/>
    <w:rsid w:val="00BF2218"/>
    <w:rsid w:val="00C562E9"/>
    <w:rsid w:val="00C931A1"/>
    <w:rsid w:val="00CD7492"/>
    <w:rsid w:val="00CE3A6B"/>
    <w:rsid w:val="00D00211"/>
    <w:rsid w:val="00D06309"/>
    <w:rsid w:val="00D351EA"/>
    <w:rsid w:val="00D358A6"/>
    <w:rsid w:val="00D43403"/>
    <w:rsid w:val="00D62E71"/>
    <w:rsid w:val="00D740CA"/>
    <w:rsid w:val="00D85728"/>
    <w:rsid w:val="00DB32BB"/>
    <w:rsid w:val="00DB4870"/>
    <w:rsid w:val="00DC1AEA"/>
    <w:rsid w:val="00DD555A"/>
    <w:rsid w:val="00DF2997"/>
    <w:rsid w:val="00E51440"/>
    <w:rsid w:val="00EC7BC3"/>
    <w:rsid w:val="00ED7600"/>
    <w:rsid w:val="00EF2A70"/>
    <w:rsid w:val="00F04673"/>
    <w:rsid w:val="00F1362C"/>
    <w:rsid w:val="00F231E7"/>
    <w:rsid w:val="00F261F2"/>
    <w:rsid w:val="00F461AC"/>
    <w:rsid w:val="00F824F5"/>
    <w:rsid w:val="00FC29B9"/>
    <w:rsid w:val="00FC6FD3"/>
    <w:rsid w:val="00FD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41577E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E076B-3571-4BAF-845D-CE466296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Juergen Hofmann (Nokia-DE/Munich)</cp:lastModifiedBy>
  <cp:revision>2</cp:revision>
  <dcterms:created xsi:type="dcterms:W3CDTF">2019-05-03T15:30:00Z</dcterms:created>
  <dcterms:modified xsi:type="dcterms:W3CDTF">2019-05-03T15:30:00Z</dcterms:modified>
</cp:coreProperties>
</file>